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CB05" w14:textId="77777777" w:rsidR="00FA0BA1" w:rsidRDefault="00FA0BA1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</w:p>
    <w:p w14:paraId="673AAED3" w14:textId="20B399B0" w:rsidR="00B07BB7" w:rsidRPr="00FA0BA1" w:rsidRDefault="00B07BB7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  <w:proofErr w:type="spellStart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Syllabus</w:t>
      </w:r>
      <w:proofErr w:type="spellEnd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 xml:space="preserve"> </w:t>
      </w:r>
      <w:r w:rsidR="00BE2B50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– PhD in Management</w:t>
      </w:r>
    </w:p>
    <w:tbl>
      <w:tblPr>
        <w:tblStyle w:val="TableNormal1"/>
        <w:tblW w:w="0" w:type="auto"/>
        <w:tblLook w:val="04A0" w:firstRow="1" w:lastRow="0" w:firstColumn="1" w:lastColumn="0" w:noHBand="0" w:noVBand="1"/>
      </w:tblPr>
      <w:tblGrid>
        <w:gridCol w:w="3402"/>
        <w:gridCol w:w="6230"/>
      </w:tblGrid>
      <w:tr w:rsidR="001D009E" w:rsidRPr="00FA0BA1" w14:paraId="59A0FFFB" w14:textId="77777777" w:rsidTr="008D4010">
        <w:trPr>
          <w:trHeight w:val="283"/>
        </w:trPr>
        <w:tc>
          <w:tcPr>
            <w:tcW w:w="3402" w:type="dxa"/>
            <w:vAlign w:val="bottom"/>
          </w:tcPr>
          <w:p w14:paraId="5151BAB4" w14:textId="3991FC42" w:rsidR="00B07BB7" w:rsidRPr="00FA0BA1" w:rsidRDefault="00B07BB7" w:rsidP="008D4010">
            <w:pPr>
              <w:pStyle w:val="TestoTabella"/>
            </w:pPr>
            <w:r w:rsidRPr="00FA0BA1">
              <w:t xml:space="preserve">Anno </w:t>
            </w:r>
            <w:proofErr w:type="spellStart"/>
            <w:r w:rsidRPr="00FA0BA1">
              <w:t>Offerta</w:t>
            </w:r>
            <w:proofErr w:type="spellEnd"/>
            <w:r w:rsidR="00AA59C5" w:rsidRPr="00FA0BA1">
              <w:t xml:space="preserve"> / Academic Year</w:t>
            </w:r>
          </w:p>
        </w:tc>
        <w:tc>
          <w:tcPr>
            <w:tcW w:w="6230" w:type="dxa"/>
            <w:vAlign w:val="bottom"/>
          </w:tcPr>
          <w:p w14:paraId="4774745D" w14:textId="190F8CCD" w:rsidR="00B07BB7" w:rsidRPr="00FA0BA1" w:rsidRDefault="00B97FF3" w:rsidP="008D4010">
            <w:pPr>
              <w:pStyle w:val="TestoTabella"/>
            </w:pPr>
            <w:r>
              <w:t>2024-2025</w:t>
            </w:r>
          </w:p>
        </w:tc>
      </w:tr>
      <w:tr w:rsidR="001D009E" w:rsidRPr="00FA0BA1" w14:paraId="52DFA167" w14:textId="77777777" w:rsidTr="008D4010">
        <w:trPr>
          <w:trHeight w:val="283"/>
        </w:trPr>
        <w:tc>
          <w:tcPr>
            <w:tcW w:w="3402" w:type="dxa"/>
            <w:vAlign w:val="top"/>
          </w:tcPr>
          <w:p w14:paraId="1089251D" w14:textId="34394173" w:rsidR="00B07BB7" w:rsidRPr="00FA0BA1" w:rsidRDefault="00B07BB7" w:rsidP="008D4010">
            <w:pPr>
              <w:pStyle w:val="TestoTabella"/>
            </w:pPr>
            <w:r w:rsidRPr="00FA0BA1">
              <w:t>Corso di Studio</w:t>
            </w:r>
            <w:r w:rsidR="00AA59C5" w:rsidRPr="00FA0BA1">
              <w:t xml:space="preserve"> / PhD</w:t>
            </w:r>
          </w:p>
        </w:tc>
        <w:tc>
          <w:tcPr>
            <w:tcW w:w="6230" w:type="dxa"/>
            <w:vAlign w:val="top"/>
          </w:tcPr>
          <w:p w14:paraId="786196B5" w14:textId="5EF7B2FB" w:rsidR="00B07BB7" w:rsidRPr="00FA0BA1" w:rsidRDefault="00AA59C5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PhD</w:t>
            </w:r>
            <w:r w:rsidR="00B07BB7" w:rsidRPr="00FA0BA1">
              <w:rPr>
                <w:lang w:val="it-IT"/>
              </w:rPr>
              <w:t xml:space="preserve"> in </w:t>
            </w:r>
            <w:r w:rsidR="00860508" w:rsidRPr="00FA0BA1">
              <w:rPr>
                <w:lang w:val="it-IT"/>
              </w:rPr>
              <w:t>Management</w:t>
            </w:r>
          </w:p>
        </w:tc>
      </w:tr>
      <w:tr w:rsidR="001D009E" w:rsidRPr="00FA0BA1" w14:paraId="5ADE8C9A" w14:textId="77777777" w:rsidTr="008D4010">
        <w:trPr>
          <w:trHeight w:val="283"/>
        </w:trPr>
        <w:tc>
          <w:tcPr>
            <w:tcW w:w="3402" w:type="dxa"/>
            <w:vAlign w:val="top"/>
          </w:tcPr>
          <w:p w14:paraId="683FCBCD" w14:textId="77777777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Insegnamento</w:t>
            </w:r>
            <w:proofErr w:type="spellEnd"/>
            <w:r w:rsidRPr="00FA0BA1">
              <w:t>/Modulo</w:t>
            </w:r>
          </w:p>
        </w:tc>
        <w:tc>
          <w:tcPr>
            <w:tcW w:w="6230" w:type="dxa"/>
            <w:vAlign w:val="top"/>
          </w:tcPr>
          <w:p w14:paraId="727A5A13" w14:textId="3E3730D9" w:rsidR="00B07BB7" w:rsidRPr="00FA0BA1" w:rsidRDefault="00B97FF3" w:rsidP="008D4010">
            <w:pPr>
              <w:pStyle w:val="TestoTabella"/>
            </w:pPr>
            <w:r>
              <w:t>Consumer Behavior</w:t>
            </w:r>
          </w:p>
        </w:tc>
      </w:tr>
      <w:tr w:rsidR="001D009E" w:rsidRPr="00FA0BA1" w14:paraId="14B0B914" w14:textId="77777777" w:rsidTr="008D4010">
        <w:trPr>
          <w:trHeight w:val="283"/>
        </w:trPr>
        <w:tc>
          <w:tcPr>
            <w:tcW w:w="3402" w:type="dxa"/>
            <w:vAlign w:val="top"/>
          </w:tcPr>
          <w:p w14:paraId="26C4D9F9" w14:textId="78F46F71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Periodo</w:t>
            </w:r>
            <w:proofErr w:type="spellEnd"/>
            <w:r w:rsidRPr="00FA0BA1">
              <w:t xml:space="preserve"> </w:t>
            </w:r>
            <w:proofErr w:type="spellStart"/>
            <w:r w:rsidRPr="00FA0BA1">
              <w:t>Didattico</w:t>
            </w:r>
            <w:proofErr w:type="spellEnd"/>
            <w:r w:rsidR="00AA59C5" w:rsidRPr="00FA0BA1">
              <w:t xml:space="preserve"> /Term</w:t>
            </w:r>
          </w:p>
        </w:tc>
        <w:tc>
          <w:tcPr>
            <w:tcW w:w="6230" w:type="dxa"/>
            <w:vAlign w:val="top"/>
          </w:tcPr>
          <w:p w14:paraId="68EAD9C1" w14:textId="78F10D8D" w:rsidR="00B07BB7" w:rsidRPr="00FA0BA1" w:rsidRDefault="00B97FF3" w:rsidP="008D4010">
            <w:pPr>
              <w:pStyle w:val="TestoTabella"/>
            </w:pPr>
            <w:r>
              <w:t>2</w:t>
            </w:r>
          </w:p>
        </w:tc>
      </w:tr>
      <w:tr w:rsidR="001D009E" w:rsidRPr="00FA0BA1" w14:paraId="0BA0D3E2" w14:textId="77777777" w:rsidTr="008D4010">
        <w:trPr>
          <w:trHeight w:val="283"/>
        </w:trPr>
        <w:tc>
          <w:tcPr>
            <w:tcW w:w="3402" w:type="dxa"/>
            <w:vAlign w:val="top"/>
          </w:tcPr>
          <w:p w14:paraId="5AB8E052" w14:textId="0E00B698" w:rsidR="00B07BB7" w:rsidRPr="00FA0BA1" w:rsidRDefault="00B07BB7" w:rsidP="008D4010">
            <w:pPr>
              <w:pStyle w:val="TestoTabella"/>
            </w:pPr>
            <w:r w:rsidRPr="00FA0BA1">
              <w:t>Anno Corso</w:t>
            </w:r>
            <w:r w:rsidR="00AA59C5" w:rsidRPr="00FA0BA1">
              <w:t xml:space="preserve"> / Year of the course</w:t>
            </w:r>
          </w:p>
        </w:tc>
        <w:tc>
          <w:tcPr>
            <w:tcW w:w="6230" w:type="dxa"/>
            <w:vAlign w:val="top"/>
          </w:tcPr>
          <w:p w14:paraId="0182A281" w14:textId="3E524F1D" w:rsidR="00B07BB7" w:rsidRPr="00FA0BA1" w:rsidRDefault="00B97FF3" w:rsidP="008D4010">
            <w:pPr>
              <w:pStyle w:val="TestoTabella"/>
            </w:pPr>
            <w:r>
              <w:t>2025</w:t>
            </w:r>
          </w:p>
        </w:tc>
      </w:tr>
      <w:tr w:rsidR="001D009E" w:rsidRPr="00FA0BA1" w14:paraId="680B6450" w14:textId="77777777" w:rsidTr="008D4010">
        <w:trPr>
          <w:trHeight w:val="283"/>
        </w:trPr>
        <w:tc>
          <w:tcPr>
            <w:tcW w:w="3402" w:type="dxa"/>
            <w:vAlign w:val="top"/>
          </w:tcPr>
          <w:p w14:paraId="33ED2E3D" w14:textId="4C698C1B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Settore</w:t>
            </w:r>
            <w:proofErr w:type="spellEnd"/>
            <w:r w:rsidR="00AA59C5" w:rsidRPr="00FA0BA1">
              <w:t xml:space="preserve"> </w:t>
            </w:r>
          </w:p>
        </w:tc>
        <w:tc>
          <w:tcPr>
            <w:tcW w:w="6230" w:type="dxa"/>
            <w:vAlign w:val="top"/>
          </w:tcPr>
          <w:p w14:paraId="2D13B4CA" w14:textId="3E7C6458" w:rsidR="00B07BB7" w:rsidRPr="00FA0BA1" w:rsidRDefault="00B07BB7" w:rsidP="008D4010">
            <w:pPr>
              <w:pStyle w:val="TestoTabella"/>
            </w:pPr>
          </w:p>
        </w:tc>
      </w:tr>
      <w:tr w:rsidR="001D009E" w:rsidRPr="00FA0BA1" w14:paraId="206DA824" w14:textId="77777777" w:rsidTr="008D4010">
        <w:trPr>
          <w:trHeight w:val="283"/>
        </w:trPr>
        <w:tc>
          <w:tcPr>
            <w:tcW w:w="3402" w:type="dxa"/>
            <w:vAlign w:val="top"/>
          </w:tcPr>
          <w:p w14:paraId="181438BB" w14:textId="77777777" w:rsidR="00B07BB7" w:rsidRPr="00FA0BA1" w:rsidRDefault="00B07BB7" w:rsidP="008D4010">
            <w:pPr>
              <w:pStyle w:val="TestoTabella"/>
            </w:pPr>
            <w:r w:rsidRPr="00FA0BA1">
              <w:t>CFU</w:t>
            </w:r>
          </w:p>
        </w:tc>
        <w:tc>
          <w:tcPr>
            <w:tcW w:w="6230" w:type="dxa"/>
            <w:vAlign w:val="top"/>
          </w:tcPr>
          <w:p w14:paraId="5AD109B1" w14:textId="6659D3B1" w:rsidR="00B07BB7" w:rsidRPr="00FA0BA1" w:rsidRDefault="00B97FF3" w:rsidP="008D4010">
            <w:pPr>
              <w:pStyle w:val="TestoTabella"/>
            </w:pPr>
            <w:r>
              <w:t>3</w:t>
            </w:r>
          </w:p>
        </w:tc>
      </w:tr>
      <w:tr w:rsidR="00824C2A" w:rsidRPr="00FA0BA1" w14:paraId="71EE1D69" w14:textId="77777777" w:rsidTr="008D4010">
        <w:trPr>
          <w:trHeight w:val="283"/>
        </w:trPr>
        <w:tc>
          <w:tcPr>
            <w:tcW w:w="3402" w:type="dxa"/>
            <w:vAlign w:val="top"/>
          </w:tcPr>
          <w:p w14:paraId="29D82294" w14:textId="7685A971" w:rsidR="00B07BB7" w:rsidRPr="00AF59C4" w:rsidRDefault="00B07BB7" w:rsidP="008D4010">
            <w:pPr>
              <w:pStyle w:val="TestoTabella"/>
              <w:rPr>
                <w:lang w:val="it-IT"/>
              </w:rPr>
            </w:pPr>
            <w:r w:rsidRPr="00AF59C4">
              <w:rPr>
                <w:lang w:val="it-IT"/>
              </w:rPr>
              <w:t>Ore Attività Frontali</w:t>
            </w:r>
            <w:r w:rsidR="00AA59C5" w:rsidRPr="00AF59C4">
              <w:rPr>
                <w:lang w:val="it-IT"/>
              </w:rPr>
              <w:t xml:space="preserve"> / Total </w:t>
            </w:r>
            <w:proofErr w:type="spellStart"/>
            <w:r w:rsidR="00AA59C5" w:rsidRPr="00AF59C4">
              <w:rPr>
                <w:lang w:val="it-IT"/>
              </w:rPr>
              <w:t>Hrs</w:t>
            </w:r>
            <w:proofErr w:type="spellEnd"/>
          </w:p>
        </w:tc>
        <w:tc>
          <w:tcPr>
            <w:tcW w:w="6230" w:type="dxa"/>
            <w:vAlign w:val="top"/>
          </w:tcPr>
          <w:p w14:paraId="63B355C4" w14:textId="6CD66BC3" w:rsidR="00B07BB7" w:rsidRPr="00FA0BA1" w:rsidRDefault="00B97FF3" w:rsidP="008D4010">
            <w:pPr>
              <w:pStyle w:val="TestoTabella"/>
            </w:pPr>
            <w:r>
              <w:t>15</w:t>
            </w:r>
          </w:p>
        </w:tc>
      </w:tr>
    </w:tbl>
    <w:p w14:paraId="56EB43D9" w14:textId="77777777" w:rsidR="00B07BB7" w:rsidRPr="00FA0BA1" w:rsidRDefault="00B07BB7" w:rsidP="00B07BB7">
      <w:pPr>
        <w:rPr>
          <w:rFonts w:ascii="Luiss Sans" w:hAnsi="Luiss Sans"/>
          <w:color w:val="003A65"/>
        </w:rPr>
      </w:pPr>
    </w:p>
    <w:tbl>
      <w:tblPr>
        <w:tblStyle w:val="TableNormal1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1D009E" w:rsidRPr="00FA0BA1" w14:paraId="579E442C" w14:textId="77777777" w:rsidTr="00FA0BA1">
        <w:trPr>
          <w:trHeight w:val="283"/>
        </w:trPr>
        <w:tc>
          <w:tcPr>
            <w:tcW w:w="2127" w:type="dxa"/>
            <w:vAlign w:val="top"/>
          </w:tcPr>
          <w:p w14:paraId="1A96BBAB" w14:textId="77777777" w:rsidR="00B07BB7" w:rsidRPr="00FA0BA1" w:rsidRDefault="00B07BB7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Tipo Testo</w:t>
            </w:r>
          </w:p>
        </w:tc>
        <w:tc>
          <w:tcPr>
            <w:tcW w:w="6662" w:type="dxa"/>
            <w:vAlign w:val="top"/>
          </w:tcPr>
          <w:p w14:paraId="23AA4ED0" w14:textId="76B1DBDC" w:rsidR="00B07BB7" w:rsidRPr="00FA0BA1" w:rsidRDefault="0008138F" w:rsidP="008D4010">
            <w:pPr>
              <w:pStyle w:val="TestoTabella"/>
              <w:rPr>
                <w:b/>
                <w:bCs w:val="0"/>
              </w:rPr>
            </w:pPr>
            <w:r w:rsidRPr="00FA0BA1">
              <w:rPr>
                <w:b/>
                <w:bCs w:val="0"/>
              </w:rPr>
              <w:t>Inglese</w:t>
            </w:r>
          </w:p>
        </w:tc>
      </w:tr>
      <w:tr w:rsidR="001D009E" w:rsidRPr="00AF59C4" w14:paraId="6F295DD4" w14:textId="77777777" w:rsidTr="00FA0BA1">
        <w:trPr>
          <w:trHeight w:val="283"/>
        </w:trPr>
        <w:tc>
          <w:tcPr>
            <w:tcW w:w="2127" w:type="dxa"/>
            <w:tcBorders>
              <w:bottom w:val="single" w:sz="4" w:space="0" w:color="003A70"/>
            </w:tcBorders>
          </w:tcPr>
          <w:p w14:paraId="6DAA382E" w14:textId="77777777" w:rsidR="00B07BB7" w:rsidRPr="00FA0BA1" w:rsidRDefault="00B07BB7" w:rsidP="008D4010">
            <w:pPr>
              <w:pStyle w:val="TestoTabella"/>
            </w:pPr>
            <w:r w:rsidRPr="00FA0BA1">
              <w:t>OBIETTIVI</w:t>
            </w:r>
            <w:r w:rsidR="00F071C3" w:rsidRPr="00FA0BA1">
              <w:t>/LEARNING GOALS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363A21A4" w14:textId="26F416DC" w:rsidR="00D849B7" w:rsidRPr="002C3FFE" w:rsidRDefault="00441D59" w:rsidP="002C3FFE">
            <w:pPr>
              <w:pStyle w:val="Default"/>
              <w:tabs>
                <w:tab w:val="left" w:pos="2950"/>
              </w:tabs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</w:pP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This course introduces</w:t>
            </w:r>
            <w:r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PhD students to</w:t>
            </w:r>
            <w:r w:rsidR="00B15E88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the methods and metrics used to study</w:t>
            </w:r>
            <w:r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consumer behavior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.</w:t>
            </w:r>
            <w:r w:rsidR="00CF7331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In this course, we will examine consumer preferences and reactions to marketing actions by using insights from</w:t>
            </w:r>
            <w:r w:rsidR="0070269F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marketing,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consumer psychology and neuroscience. In doing so, we will mainly focus on </w:t>
            </w:r>
            <w:r w:rsidR="00EC1611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individual consumer responses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, but we will also explore how social context, and </w:t>
            </w:r>
            <w:r w:rsidR="00EC1611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other 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social </w:t>
            </w:r>
            <w:r w:rsidR="00EC1611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factors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</w:t>
            </w:r>
            <w:r w:rsidR="00EC1611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>shape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 xml:space="preserve"> consumer behavior. The basic idea of the course is that purchase behavior is largely driven by processes that occur outside a consumer's conscious awareness. By understanding these unconscious processes, marketers can predict consumer behavior more accurately.</w:t>
            </w:r>
            <w:r w:rsidRPr="00441D59">
              <w:rPr>
                <w:rFonts w:ascii="Luiss Sans" w:eastAsia="MetaPro Normal" w:hAnsi="Luiss Sans" w:cs="Cambria"/>
                <w:bCs/>
                <w:color w:val="003A65"/>
                <w:sz w:val="18"/>
                <w:szCs w:val="18"/>
                <w:u w:color="003A65"/>
              </w:rPr>
              <w:tab/>
            </w:r>
          </w:p>
        </w:tc>
      </w:tr>
      <w:tr w:rsidR="001D009E" w:rsidRPr="00AF59C4" w14:paraId="18D4BAD9" w14:textId="77777777" w:rsidTr="00FA0BA1">
        <w:trPr>
          <w:trHeight w:val="80"/>
        </w:trPr>
        <w:tc>
          <w:tcPr>
            <w:tcW w:w="2127" w:type="dxa"/>
            <w:vMerge w:val="restart"/>
          </w:tcPr>
          <w:p w14:paraId="21017246" w14:textId="77777777" w:rsidR="00B07BB7" w:rsidRPr="00AF59C4" w:rsidRDefault="00B07BB7" w:rsidP="008D4010">
            <w:pPr>
              <w:pStyle w:val="TestoTabella"/>
              <w:rPr>
                <w:lang w:val="it-IT"/>
              </w:rPr>
            </w:pPr>
            <w:r w:rsidRPr="00AF59C4">
              <w:rPr>
                <w:lang w:val="it-IT"/>
              </w:rPr>
              <w:t>RISULTATI DI APPRENDIMENTO ATTESI</w:t>
            </w:r>
            <w:r w:rsidR="00F071C3" w:rsidRPr="00AF59C4">
              <w:rPr>
                <w:lang w:val="it-IT"/>
              </w:rPr>
              <w:t>/ INTENDED LEARNING OUTCOMES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6D42055D" w14:textId="38A1711F" w:rsidR="002707A6" w:rsidRPr="000244D3" w:rsidRDefault="000244D3" w:rsidP="000244D3">
            <w:pPr>
              <w:pStyle w:val="TestoTabella"/>
            </w:pPr>
            <w:r w:rsidRPr="000244D3">
              <w:t>Learn the basic principles and theories of consumer psychology and consumer neuroscience</w:t>
            </w:r>
          </w:p>
        </w:tc>
      </w:tr>
      <w:tr w:rsidR="001D009E" w:rsidRPr="00AF59C4" w14:paraId="3992FC32" w14:textId="77777777" w:rsidTr="00FA0BA1">
        <w:trPr>
          <w:trHeight w:val="80"/>
        </w:trPr>
        <w:tc>
          <w:tcPr>
            <w:tcW w:w="2127" w:type="dxa"/>
            <w:vMerge/>
          </w:tcPr>
          <w:p w14:paraId="3410C643" w14:textId="77777777" w:rsidR="00B07BB7" w:rsidRPr="000244D3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57661CE" w14:textId="57B8E961" w:rsidR="00D849B7" w:rsidRPr="000244D3" w:rsidRDefault="000244D3" w:rsidP="008D4010">
            <w:pPr>
              <w:pStyle w:val="TestoTabella"/>
            </w:pPr>
            <w:r w:rsidRPr="000244D3">
              <w:t xml:space="preserve">Apply traditional and neuromarketing methods and metrics to improve </w:t>
            </w:r>
            <w:r>
              <w:t>their understanding of consumer behavior</w:t>
            </w:r>
            <w:r w:rsidRPr="000244D3">
              <w:t xml:space="preserve"> </w:t>
            </w:r>
          </w:p>
        </w:tc>
      </w:tr>
      <w:tr w:rsidR="001D009E" w:rsidRPr="00AF59C4" w14:paraId="3B74DB4A" w14:textId="77777777" w:rsidTr="00FA0BA1">
        <w:trPr>
          <w:trHeight w:val="80"/>
        </w:trPr>
        <w:tc>
          <w:tcPr>
            <w:tcW w:w="2127" w:type="dxa"/>
            <w:vMerge/>
          </w:tcPr>
          <w:p w14:paraId="56E1EB45" w14:textId="77777777" w:rsidR="00B07BB7" w:rsidRPr="00FA0BA1" w:rsidRDefault="00B07BB7" w:rsidP="008D4010">
            <w:pPr>
              <w:pStyle w:val="TestoTabella"/>
              <w:rPr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3CF26E0E" w14:textId="579656DA" w:rsidR="00D849B7" w:rsidRPr="000244D3" w:rsidRDefault="000244D3" w:rsidP="008D4010">
            <w:pPr>
              <w:pStyle w:val="TestoTabella"/>
            </w:pPr>
            <w:r>
              <w:t>Make decisions regarding</w:t>
            </w:r>
            <w:r w:rsidRPr="000244D3">
              <w:t xml:space="preserve"> collect</w:t>
            </w:r>
            <w:r>
              <w:t>ing</w:t>
            </w:r>
            <w:r w:rsidRPr="000244D3">
              <w:t>, analyz</w:t>
            </w:r>
            <w:r>
              <w:t>ing</w:t>
            </w:r>
            <w:r w:rsidRPr="000244D3">
              <w:t xml:space="preserve"> and report</w:t>
            </w:r>
            <w:r>
              <w:t>ing</w:t>
            </w:r>
            <w:r w:rsidRPr="000244D3">
              <w:t xml:space="preserve"> </w:t>
            </w:r>
            <w:r>
              <w:t>consumer behavior</w:t>
            </w:r>
            <w:r w:rsidRPr="000244D3">
              <w:t xml:space="preserve"> data </w:t>
            </w:r>
          </w:p>
        </w:tc>
      </w:tr>
      <w:tr w:rsidR="001D009E" w:rsidRPr="00AF59C4" w14:paraId="4A44B607" w14:textId="77777777" w:rsidTr="00FA0BA1">
        <w:trPr>
          <w:trHeight w:val="80"/>
        </w:trPr>
        <w:tc>
          <w:tcPr>
            <w:tcW w:w="2127" w:type="dxa"/>
            <w:vMerge/>
          </w:tcPr>
          <w:p w14:paraId="0D0D754F" w14:textId="77777777" w:rsidR="00B07BB7" w:rsidRPr="00FA0BA1" w:rsidRDefault="00B07BB7" w:rsidP="008D4010">
            <w:pPr>
              <w:pStyle w:val="TestoTabella"/>
              <w:rPr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1484EB54" w14:textId="57C922DA" w:rsidR="002D5FB5" w:rsidRPr="00FA0BA1" w:rsidRDefault="00DC6A5F" w:rsidP="008D4010">
            <w:pPr>
              <w:pStyle w:val="TestoTabella"/>
              <w:rPr>
                <w:highlight w:val="yellow"/>
              </w:rPr>
            </w:pPr>
            <w:r w:rsidRPr="00DC6A5F">
              <w:t xml:space="preserve">Understand the </w:t>
            </w:r>
            <w:r>
              <w:t>psychological and neurological drivers</w:t>
            </w:r>
            <w:r w:rsidRPr="00DC6A5F">
              <w:t xml:space="preserve"> underlying consumer decision making and consumer reactions to marketing actions (i.e., advertising, branding, pricing etc.)</w:t>
            </w:r>
          </w:p>
        </w:tc>
      </w:tr>
      <w:tr w:rsidR="001D009E" w:rsidRPr="00AF59C4" w14:paraId="5272DA45" w14:textId="77777777" w:rsidTr="00FA0BA1">
        <w:trPr>
          <w:trHeight w:val="80"/>
        </w:trPr>
        <w:tc>
          <w:tcPr>
            <w:tcW w:w="2127" w:type="dxa"/>
            <w:vMerge/>
            <w:tcBorders>
              <w:bottom w:val="single" w:sz="4" w:space="0" w:color="003A70"/>
            </w:tcBorders>
          </w:tcPr>
          <w:p w14:paraId="49081371" w14:textId="77777777" w:rsidR="00B07BB7" w:rsidRPr="00FA0BA1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2657355F" w14:textId="12EC316F" w:rsidR="00B07BB7" w:rsidRPr="00FA0BA1" w:rsidRDefault="00F25A64" w:rsidP="008D4010">
            <w:pPr>
              <w:pStyle w:val="TestoTabella"/>
            </w:pPr>
            <w:r w:rsidRPr="00DC6A5F">
              <w:t>Learning how to read</w:t>
            </w:r>
            <w:r w:rsidR="00DC6A5F">
              <w:t xml:space="preserve"> scientific</w:t>
            </w:r>
            <w:r w:rsidRPr="00DC6A5F">
              <w:t xml:space="preserve"> papers</w:t>
            </w:r>
            <w:r w:rsidR="00BC27AC" w:rsidRPr="00DC6A5F">
              <w:t>, build theories evaluating research designs</w:t>
            </w:r>
          </w:p>
          <w:p w14:paraId="5CC37BD7" w14:textId="7AA7528D" w:rsidR="00D849B7" w:rsidRPr="00FA0BA1" w:rsidRDefault="00D849B7" w:rsidP="008D4010">
            <w:pPr>
              <w:pStyle w:val="TestoTabella"/>
            </w:pPr>
          </w:p>
        </w:tc>
      </w:tr>
      <w:tr w:rsidR="001D009E" w:rsidRPr="00FA0BA1" w14:paraId="535FF4DC" w14:textId="77777777" w:rsidTr="00FA0BA1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top"/>
          </w:tcPr>
          <w:p w14:paraId="1B2C69E0" w14:textId="27F0709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PREREQUISITI / ENTRY REQUIREMENTS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top"/>
          </w:tcPr>
          <w:p w14:paraId="540A8414" w14:textId="6AB72800" w:rsidR="00A930CA" w:rsidRPr="00FA0BA1" w:rsidRDefault="001B53E9" w:rsidP="00A930CA">
            <w:pPr>
              <w:pStyle w:val="TestoTabella"/>
            </w:pPr>
            <w:r>
              <w:t>N.A.</w:t>
            </w:r>
          </w:p>
          <w:p w14:paraId="11E683EE" w14:textId="77777777" w:rsidR="00B07BB7" w:rsidRPr="00FA0BA1" w:rsidRDefault="00B07BB7" w:rsidP="008D4010">
            <w:pPr>
              <w:pStyle w:val="TestoTabella"/>
            </w:pPr>
          </w:p>
        </w:tc>
      </w:tr>
      <w:tr w:rsidR="001D009E" w:rsidRPr="00ED5FEB" w14:paraId="0CEC3417" w14:textId="77777777" w:rsidTr="00FA0BA1">
        <w:trPr>
          <w:trHeight w:val="283"/>
        </w:trPr>
        <w:tc>
          <w:tcPr>
            <w:tcW w:w="2127" w:type="dxa"/>
            <w:vAlign w:val="top"/>
          </w:tcPr>
          <w:p w14:paraId="23418CFE" w14:textId="7B32928D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CONTENUTI DEL CORSO / COURSE CONTENT</w:t>
            </w:r>
            <w:r>
              <w:rPr>
                <w:lang w:val="it-IT"/>
              </w:rPr>
              <w:t>S</w:t>
            </w:r>
          </w:p>
        </w:tc>
        <w:tc>
          <w:tcPr>
            <w:tcW w:w="6662" w:type="dxa"/>
            <w:vAlign w:val="top"/>
          </w:tcPr>
          <w:p w14:paraId="1BDFF1E8" w14:textId="7C516482" w:rsidR="00D821BC" w:rsidRPr="009926FA" w:rsidRDefault="00A930CA" w:rsidP="008D4010">
            <w:pPr>
              <w:pStyle w:val="TestoTabella"/>
              <w:rPr>
                <w:b/>
                <w:bCs w:val="0"/>
              </w:rPr>
            </w:pPr>
            <w:r w:rsidRPr="009926FA">
              <w:rPr>
                <w:b/>
                <w:bCs w:val="0"/>
              </w:rPr>
              <w:t>Session 1:</w:t>
            </w:r>
            <w:r w:rsidR="00D821BC" w:rsidRPr="009926FA">
              <w:rPr>
                <w:b/>
                <w:bCs w:val="0"/>
              </w:rPr>
              <w:t xml:space="preserve"> April 17, 2pm-5pm, Prof. </w:t>
            </w:r>
            <w:proofErr w:type="spellStart"/>
            <w:r w:rsidR="00D821BC" w:rsidRPr="009926FA">
              <w:rPr>
                <w:b/>
                <w:bCs w:val="0"/>
              </w:rPr>
              <w:t>Pozharliev</w:t>
            </w:r>
            <w:proofErr w:type="spellEnd"/>
          </w:p>
          <w:p w14:paraId="4A794FC2" w14:textId="1B1E7B88" w:rsidR="00A930CA" w:rsidRDefault="00C21B69" w:rsidP="00A930CA">
            <w:pPr>
              <w:pStyle w:val="TestoTabella"/>
              <w:numPr>
                <w:ilvl w:val="0"/>
                <w:numId w:val="29"/>
              </w:numPr>
            </w:pPr>
            <w:r>
              <w:t>Course Introduction</w:t>
            </w:r>
          </w:p>
          <w:p w14:paraId="31DB737C" w14:textId="55285CE5" w:rsidR="00377932" w:rsidRDefault="00703E45" w:rsidP="00A930CA">
            <w:pPr>
              <w:pStyle w:val="TestoTabella"/>
              <w:numPr>
                <w:ilvl w:val="0"/>
                <w:numId w:val="29"/>
              </w:numPr>
            </w:pPr>
            <w:r>
              <w:t>Consumer-</w:t>
            </w:r>
            <w:r w:rsidR="00406984">
              <w:t>D</w:t>
            </w:r>
            <w:r>
              <w:t xml:space="preserve">ecision </w:t>
            </w:r>
            <w:r w:rsidR="00406984">
              <w:t>M</w:t>
            </w:r>
            <w:r>
              <w:t xml:space="preserve">aking </w:t>
            </w:r>
            <w:r w:rsidR="00406984">
              <w:t>Fr</w:t>
            </w:r>
            <w:r>
              <w:t>amewo</w:t>
            </w:r>
            <w:r w:rsidR="00377932">
              <w:t>rk</w:t>
            </w:r>
            <w:r w:rsidR="00114B73">
              <w:t>:</w:t>
            </w:r>
          </w:p>
          <w:p w14:paraId="610730F7" w14:textId="11528852" w:rsidR="00377932" w:rsidRDefault="00377932" w:rsidP="00E24ACF">
            <w:pPr>
              <w:pStyle w:val="TestoTabella"/>
              <w:numPr>
                <w:ilvl w:val="0"/>
                <w:numId w:val="31"/>
              </w:numPr>
              <w:rPr>
                <w:lang w:val="it-IT"/>
              </w:rPr>
            </w:pPr>
            <w:r>
              <w:t>(</w:t>
            </w:r>
            <w:proofErr w:type="spellStart"/>
            <w:r w:rsidRPr="00AF59C4">
              <w:t>Plassmann</w:t>
            </w:r>
            <w:proofErr w:type="spellEnd"/>
            <w:r w:rsidRPr="00AF59C4">
              <w:t xml:space="preserve">, H., </w:t>
            </w:r>
            <w:proofErr w:type="spellStart"/>
            <w:r w:rsidRPr="00AF59C4">
              <w:t>Ramsøy</w:t>
            </w:r>
            <w:proofErr w:type="spellEnd"/>
            <w:r w:rsidRPr="00AF59C4">
              <w:t>, T. Z., &amp; Milosavljevic, M. (2012). Branding the brain: A critical review and outlook. </w:t>
            </w:r>
            <w:r w:rsidRPr="00703E45">
              <w:rPr>
                <w:i/>
                <w:iCs/>
                <w:lang w:val="it-IT"/>
              </w:rPr>
              <w:t xml:space="preserve">Journal of </w:t>
            </w:r>
            <w:r>
              <w:rPr>
                <w:i/>
                <w:iCs/>
                <w:lang w:val="it-IT"/>
              </w:rPr>
              <w:t>C</w:t>
            </w:r>
            <w:r w:rsidRPr="00703E45">
              <w:rPr>
                <w:i/>
                <w:iCs/>
                <w:lang w:val="it-IT"/>
              </w:rPr>
              <w:t xml:space="preserve">onsumer </w:t>
            </w:r>
            <w:proofErr w:type="spellStart"/>
            <w:r>
              <w:rPr>
                <w:i/>
                <w:iCs/>
                <w:lang w:val="it-IT"/>
              </w:rPr>
              <w:t>P</w:t>
            </w:r>
            <w:r w:rsidRPr="00703E45">
              <w:rPr>
                <w:i/>
                <w:iCs/>
                <w:lang w:val="it-IT"/>
              </w:rPr>
              <w:t>sychology</w:t>
            </w:r>
            <w:proofErr w:type="spellEnd"/>
            <w:r w:rsidRPr="00703E45">
              <w:rPr>
                <w:lang w:val="it-IT"/>
              </w:rPr>
              <w:t>, </w:t>
            </w:r>
            <w:r w:rsidRPr="00703E45">
              <w:rPr>
                <w:i/>
                <w:iCs/>
                <w:lang w:val="it-IT"/>
              </w:rPr>
              <w:t>22</w:t>
            </w:r>
            <w:r w:rsidRPr="00703E45">
              <w:rPr>
                <w:lang w:val="it-IT"/>
              </w:rPr>
              <w:t>(1), 18-36.</w:t>
            </w:r>
          </w:p>
          <w:p w14:paraId="5AE07B05" w14:textId="77777777" w:rsidR="00406984" w:rsidRPr="00377932" w:rsidRDefault="00406984" w:rsidP="00377932">
            <w:pPr>
              <w:pStyle w:val="TestoTabella"/>
              <w:ind w:left="720"/>
              <w:rPr>
                <w:lang w:val="it-IT"/>
              </w:rPr>
            </w:pPr>
          </w:p>
          <w:p w14:paraId="513E9FDB" w14:textId="08809CCE" w:rsidR="00406984" w:rsidRDefault="00406984" w:rsidP="00406984">
            <w:pPr>
              <w:pStyle w:val="TestoTabella"/>
              <w:numPr>
                <w:ilvl w:val="0"/>
                <w:numId w:val="29"/>
              </w:numPr>
            </w:pPr>
            <w:r>
              <w:t xml:space="preserve">Traditional and Neurophysiological </w:t>
            </w:r>
            <w:r w:rsidR="00960D4C">
              <w:t>M</w:t>
            </w:r>
            <w:r>
              <w:t>etho</w:t>
            </w:r>
            <w:r w:rsidR="00960D4C">
              <w:t>d</w:t>
            </w:r>
            <w:r>
              <w:t xml:space="preserve">s for </w:t>
            </w:r>
            <w:r w:rsidR="00960D4C">
              <w:t>S</w:t>
            </w:r>
            <w:r>
              <w:t xml:space="preserve">tudying </w:t>
            </w:r>
            <w:r w:rsidR="00960D4C">
              <w:t>C</w:t>
            </w:r>
            <w:r>
              <w:t xml:space="preserve">onsumer </w:t>
            </w:r>
            <w:r w:rsidR="00960D4C">
              <w:t>B</w:t>
            </w:r>
            <w:r>
              <w:t>ehavior</w:t>
            </w:r>
            <w:r w:rsidR="00114B73">
              <w:t>:</w:t>
            </w:r>
          </w:p>
          <w:p w14:paraId="02CDB73B" w14:textId="73298C43" w:rsidR="00406984" w:rsidRDefault="00406984" w:rsidP="00E24ACF">
            <w:pPr>
              <w:pStyle w:val="TestoTabella"/>
              <w:numPr>
                <w:ilvl w:val="0"/>
                <w:numId w:val="30"/>
              </w:numPr>
              <w:rPr>
                <w:lang w:val="it-IT"/>
              </w:rPr>
            </w:pPr>
            <w:proofErr w:type="spellStart"/>
            <w:r w:rsidRPr="00406984">
              <w:rPr>
                <w:lang w:val="it-IT"/>
              </w:rPr>
              <w:t>Venkatraman</w:t>
            </w:r>
            <w:proofErr w:type="spellEnd"/>
            <w:r w:rsidRPr="00406984">
              <w:rPr>
                <w:lang w:val="it-IT"/>
              </w:rPr>
              <w:t xml:space="preserve">, V., </w:t>
            </w:r>
            <w:proofErr w:type="spellStart"/>
            <w:r w:rsidRPr="00406984">
              <w:rPr>
                <w:lang w:val="it-IT"/>
              </w:rPr>
              <w:t>Dimoka</w:t>
            </w:r>
            <w:proofErr w:type="spellEnd"/>
            <w:r w:rsidRPr="00406984">
              <w:rPr>
                <w:lang w:val="it-IT"/>
              </w:rPr>
              <w:t xml:space="preserve">, A., </w:t>
            </w:r>
            <w:proofErr w:type="spellStart"/>
            <w:r w:rsidRPr="00406984">
              <w:rPr>
                <w:lang w:val="it-IT"/>
              </w:rPr>
              <w:t>Pavlou</w:t>
            </w:r>
            <w:proofErr w:type="spellEnd"/>
            <w:r w:rsidRPr="00406984">
              <w:rPr>
                <w:lang w:val="it-IT"/>
              </w:rPr>
              <w:t xml:space="preserve">, P. A., Vo, K., Hampton, W., </w:t>
            </w:r>
            <w:proofErr w:type="spellStart"/>
            <w:r w:rsidRPr="00406984">
              <w:rPr>
                <w:lang w:val="it-IT"/>
              </w:rPr>
              <w:t>Bollinger</w:t>
            </w:r>
            <w:proofErr w:type="spellEnd"/>
            <w:r w:rsidRPr="00406984">
              <w:rPr>
                <w:lang w:val="it-IT"/>
              </w:rPr>
              <w:t xml:space="preserve">, B., ... </w:t>
            </w:r>
            <w:r w:rsidRPr="00AF59C4">
              <w:t>&amp; Winer, R. S. (2015). Predicting advertising success beyond traditional measures: New insights from neurophysiological methods and market response modeling. </w:t>
            </w:r>
            <w:r w:rsidRPr="00406984">
              <w:rPr>
                <w:i/>
                <w:iCs/>
                <w:lang w:val="it-IT"/>
              </w:rPr>
              <w:t xml:space="preserve">Journal of Marketing </w:t>
            </w:r>
            <w:proofErr w:type="spellStart"/>
            <w:r w:rsidRPr="00406984">
              <w:rPr>
                <w:i/>
                <w:iCs/>
                <w:lang w:val="it-IT"/>
              </w:rPr>
              <w:t>Research</w:t>
            </w:r>
            <w:proofErr w:type="spellEnd"/>
            <w:r w:rsidRPr="00406984">
              <w:rPr>
                <w:lang w:val="it-IT"/>
              </w:rPr>
              <w:t>, </w:t>
            </w:r>
            <w:r w:rsidRPr="00406984">
              <w:rPr>
                <w:i/>
                <w:iCs/>
                <w:lang w:val="it-IT"/>
              </w:rPr>
              <w:t>52</w:t>
            </w:r>
            <w:r w:rsidRPr="00406984">
              <w:rPr>
                <w:lang w:val="it-IT"/>
              </w:rPr>
              <w:t>(4), 436-452.</w:t>
            </w:r>
          </w:p>
          <w:p w14:paraId="4A4D7A40" w14:textId="77777777" w:rsidR="006D6B7D" w:rsidRDefault="006D6B7D" w:rsidP="00406984">
            <w:pPr>
              <w:pStyle w:val="TestoTabella"/>
              <w:ind w:left="720"/>
            </w:pPr>
          </w:p>
          <w:p w14:paraId="563A82A8" w14:textId="1D69A7C9" w:rsidR="006D6B7D" w:rsidRPr="00406984" w:rsidRDefault="006D6B7D" w:rsidP="00E24ACF">
            <w:pPr>
              <w:pStyle w:val="TestoTabella"/>
              <w:numPr>
                <w:ilvl w:val="0"/>
                <w:numId w:val="30"/>
              </w:numPr>
            </w:pPr>
            <w:proofErr w:type="spellStart"/>
            <w:r w:rsidRPr="00AF59C4">
              <w:t>Pozharliev</w:t>
            </w:r>
            <w:proofErr w:type="spellEnd"/>
            <w:r w:rsidRPr="00AF59C4">
              <w:t xml:space="preserve">, R., Verbeke, W. J., Van </w:t>
            </w:r>
            <w:proofErr w:type="spellStart"/>
            <w:r w:rsidRPr="00AF59C4">
              <w:t>Strien</w:t>
            </w:r>
            <w:proofErr w:type="spellEnd"/>
            <w:r w:rsidRPr="00AF59C4">
              <w:t xml:space="preserve">, J. W., &amp; </w:t>
            </w:r>
            <w:proofErr w:type="spellStart"/>
            <w:r w:rsidRPr="00AF59C4">
              <w:t>Bagozzi</w:t>
            </w:r>
            <w:proofErr w:type="spellEnd"/>
            <w:r w:rsidRPr="00AF59C4">
              <w:t>, R. P. (2015). Merely being with you increases my attention to luxury products: Using EEG to understand consumers’ emotional experience with luxury branded products. </w:t>
            </w:r>
            <w:r w:rsidRPr="006D6B7D">
              <w:rPr>
                <w:i/>
                <w:iCs/>
                <w:lang w:val="it-IT"/>
              </w:rPr>
              <w:t xml:space="preserve">Journal of Marketing </w:t>
            </w:r>
            <w:proofErr w:type="spellStart"/>
            <w:r w:rsidRPr="006D6B7D">
              <w:rPr>
                <w:i/>
                <w:iCs/>
                <w:lang w:val="it-IT"/>
              </w:rPr>
              <w:t>Research</w:t>
            </w:r>
            <w:proofErr w:type="spellEnd"/>
            <w:r w:rsidRPr="006D6B7D">
              <w:rPr>
                <w:lang w:val="it-IT"/>
              </w:rPr>
              <w:t>, </w:t>
            </w:r>
            <w:r w:rsidRPr="006D6B7D">
              <w:rPr>
                <w:i/>
                <w:iCs/>
                <w:lang w:val="it-IT"/>
              </w:rPr>
              <w:t>52</w:t>
            </w:r>
            <w:r w:rsidRPr="006D6B7D">
              <w:rPr>
                <w:lang w:val="it-IT"/>
              </w:rPr>
              <w:t>(4), 546-558.</w:t>
            </w:r>
          </w:p>
          <w:p w14:paraId="5FC18A60" w14:textId="77777777" w:rsidR="00A930CA" w:rsidRDefault="00A930CA" w:rsidP="00377932">
            <w:pPr>
              <w:pStyle w:val="TestoTabella"/>
              <w:ind w:left="720"/>
            </w:pPr>
          </w:p>
          <w:p w14:paraId="562A56F2" w14:textId="77777777" w:rsidR="00A75B61" w:rsidRDefault="00A75B61" w:rsidP="00377932">
            <w:pPr>
              <w:pStyle w:val="TestoTabella"/>
              <w:ind w:left="720"/>
            </w:pPr>
          </w:p>
          <w:p w14:paraId="7F3BB7A8" w14:textId="77777777" w:rsidR="00A75B61" w:rsidRPr="00377932" w:rsidRDefault="00A75B61" w:rsidP="00377932">
            <w:pPr>
              <w:pStyle w:val="TestoTabella"/>
              <w:ind w:left="720"/>
            </w:pPr>
          </w:p>
          <w:p w14:paraId="0E5BEEDA" w14:textId="2999E6A5" w:rsidR="00A930CA" w:rsidRPr="009926FA" w:rsidRDefault="00A930CA" w:rsidP="00A930CA">
            <w:pPr>
              <w:pStyle w:val="TestoTabella"/>
              <w:rPr>
                <w:b/>
                <w:bCs w:val="0"/>
              </w:rPr>
            </w:pPr>
            <w:r w:rsidRPr="009926FA">
              <w:rPr>
                <w:b/>
                <w:bCs w:val="0"/>
              </w:rPr>
              <w:lastRenderedPageBreak/>
              <w:t>Session 2:</w:t>
            </w:r>
            <w:r w:rsidR="00D821BC" w:rsidRPr="009926FA">
              <w:rPr>
                <w:b/>
                <w:bCs w:val="0"/>
              </w:rPr>
              <w:t xml:space="preserve"> April 22, 10am-1pm, Prof. De Angelis</w:t>
            </w:r>
          </w:p>
          <w:p w14:paraId="0ABA5BC0" w14:textId="2616B463" w:rsidR="004F2E84" w:rsidRPr="004F2E84" w:rsidRDefault="004F2E84" w:rsidP="004F2E84">
            <w:pPr>
              <w:pStyle w:val="TestoTabella"/>
              <w:numPr>
                <w:ilvl w:val="0"/>
                <w:numId w:val="29"/>
              </w:numPr>
            </w:pPr>
            <w:r>
              <w:t>Contextual</w:t>
            </w:r>
            <w:r w:rsidR="00D63998">
              <w:t xml:space="preserve"> factors, personality traits, perceptions and emotions </w:t>
            </w:r>
            <w:r>
              <w:t xml:space="preserve">shaping sharing </w:t>
            </w:r>
            <w:r w:rsidR="00D63998">
              <w:t>behavior</w:t>
            </w:r>
          </w:p>
          <w:p w14:paraId="2D6C8D1B" w14:textId="77777777" w:rsidR="004F2E84" w:rsidRDefault="001C1C1F" w:rsidP="004F2E84">
            <w:pPr>
              <w:pStyle w:val="TestoTabella"/>
              <w:numPr>
                <w:ilvl w:val="0"/>
                <w:numId w:val="36"/>
              </w:numPr>
            </w:pPr>
            <w:r w:rsidRPr="001C1C1F">
              <w:rPr>
                <w:lang w:val="it-IT"/>
              </w:rPr>
              <w:t xml:space="preserve">Cascio Rizzo, G. L., Berger, J., De Angelis, M., &amp; </w:t>
            </w:r>
            <w:proofErr w:type="spellStart"/>
            <w:r w:rsidRPr="001C1C1F">
              <w:rPr>
                <w:lang w:val="it-IT"/>
              </w:rPr>
              <w:t>Pozharliev</w:t>
            </w:r>
            <w:proofErr w:type="spellEnd"/>
            <w:r w:rsidRPr="001C1C1F">
              <w:rPr>
                <w:lang w:val="it-IT"/>
              </w:rPr>
              <w:t xml:space="preserve">, R. (2023). </w:t>
            </w:r>
            <w:r w:rsidRPr="00AF59C4">
              <w:t>How sensory language shapes influencer’s impact. </w:t>
            </w:r>
            <w:r w:rsidRPr="00AF59C4">
              <w:rPr>
                <w:i/>
                <w:iCs/>
              </w:rPr>
              <w:t>Journal of Consumer Research</w:t>
            </w:r>
            <w:r w:rsidRPr="00AF59C4">
              <w:t>, </w:t>
            </w:r>
            <w:r w:rsidRPr="00AF59C4">
              <w:rPr>
                <w:i/>
                <w:iCs/>
              </w:rPr>
              <w:t>50</w:t>
            </w:r>
            <w:r w:rsidRPr="00AF59C4">
              <w:t>(4), 810-825.</w:t>
            </w:r>
          </w:p>
          <w:p w14:paraId="68399915" w14:textId="77777777" w:rsidR="004F2E84" w:rsidRPr="004F2E84" w:rsidRDefault="004F2E84" w:rsidP="004F2E84">
            <w:pPr>
              <w:pStyle w:val="TestoTabella"/>
              <w:numPr>
                <w:ilvl w:val="0"/>
                <w:numId w:val="36"/>
              </w:numPr>
            </w:pPr>
            <w:r w:rsidRPr="004F2E84">
              <w:rPr>
                <w:rFonts w:eastAsia="Arial Unicode MS" w:cs="Times New Roman"/>
                <w:color w:val="003A70"/>
              </w:rPr>
              <w:t xml:space="preserve">Consiglio, I., </w:t>
            </w:r>
            <w:r w:rsidRPr="004F2E84">
              <w:rPr>
                <w:rFonts w:eastAsia="Arial Unicode MS" w:cs="Times New Roman"/>
                <w:bCs w:val="0"/>
                <w:color w:val="003A70"/>
              </w:rPr>
              <w:t>De Angelis, M.,</w:t>
            </w:r>
            <w:r w:rsidRPr="004F2E84">
              <w:rPr>
                <w:rFonts w:eastAsia="Arial Unicode MS" w:cs="Times New Roman"/>
                <w:color w:val="003A70"/>
              </w:rPr>
              <w:t xml:space="preserve"> and Costabile, M. (2018), “The Effect of Social Density on Word of Mouth,” </w:t>
            </w:r>
            <w:r w:rsidRPr="004F2E84">
              <w:rPr>
                <w:rFonts w:eastAsia="Arial Unicode MS" w:cs="Times New Roman"/>
                <w:i/>
                <w:color w:val="003A70"/>
              </w:rPr>
              <w:t>Journal of Consumer Research</w:t>
            </w:r>
            <w:r w:rsidRPr="004F2E84">
              <w:rPr>
                <w:rFonts w:eastAsia="Arial Unicode MS" w:cs="Times New Roman"/>
                <w:color w:val="003A70"/>
              </w:rPr>
              <w:t>, 45 (3), 511–528.</w:t>
            </w:r>
          </w:p>
          <w:p w14:paraId="629C3862" w14:textId="77777777" w:rsidR="004F2E84" w:rsidRPr="004F2E84" w:rsidRDefault="004F2E84" w:rsidP="004F2E84">
            <w:pPr>
              <w:pStyle w:val="TestoTabella"/>
              <w:numPr>
                <w:ilvl w:val="0"/>
                <w:numId w:val="36"/>
              </w:numPr>
            </w:pPr>
            <w:proofErr w:type="spellStart"/>
            <w:r w:rsidRPr="004F2E84">
              <w:rPr>
                <w:rFonts w:eastAsia="Arial Unicode MS" w:cs="Times New Roman"/>
                <w:color w:val="003A70"/>
              </w:rPr>
              <w:t>Amatulli</w:t>
            </w:r>
            <w:proofErr w:type="spellEnd"/>
            <w:r w:rsidRPr="004F2E84">
              <w:rPr>
                <w:rFonts w:eastAsia="Arial Unicode MS" w:cs="Times New Roman"/>
                <w:color w:val="003A70"/>
              </w:rPr>
              <w:t xml:space="preserve">, C., </w:t>
            </w:r>
            <w:r w:rsidRPr="004F2E84">
              <w:rPr>
                <w:rFonts w:eastAsia="Arial Unicode MS" w:cs="Times New Roman"/>
                <w:bCs w:val="0"/>
                <w:color w:val="003A70"/>
              </w:rPr>
              <w:t>De Angelis, M.,</w:t>
            </w:r>
            <w:r w:rsidRPr="004F2E84">
              <w:rPr>
                <w:rFonts w:eastAsia="Arial Unicode MS" w:cs="Times New Roman"/>
                <w:color w:val="003A70"/>
              </w:rPr>
              <w:t xml:space="preserve"> Pino, Giovanni, and Guido, G. (2020), “An Investigation of Unsustainable Luxury: How Guilt Drives Negative Word-of-Mouth”, </w:t>
            </w:r>
            <w:r w:rsidRPr="004F2E84">
              <w:rPr>
                <w:rFonts w:eastAsia="Arial Unicode MS" w:cs="Times New Roman"/>
                <w:i/>
                <w:color w:val="003A70"/>
              </w:rPr>
              <w:t>International Journal of Research in Marketing</w:t>
            </w:r>
            <w:r w:rsidRPr="004F2E84">
              <w:rPr>
                <w:rFonts w:eastAsia="Arial Unicode MS" w:cs="Times New Roman"/>
                <w:iCs/>
                <w:color w:val="003A70"/>
              </w:rPr>
              <w:t>, 37(4), 821-836.</w:t>
            </w:r>
          </w:p>
          <w:p w14:paraId="75B93AF6" w14:textId="39E4F853" w:rsidR="004F2E84" w:rsidRPr="00D63998" w:rsidRDefault="004F2E84" w:rsidP="004F2E84">
            <w:pPr>
              <w:pStyle w:val="TestoTabella"/>
              <w:numPr>
                <w:ilvl w:val="0"/>
                <w:numId w:val="36"/>
              </w:numPr>
            </w:pPr>
            <w:r w:rsidRPr="004F2E84">
              <w:rPr>
                <w:rFonts w:eastAsia="Arial Unicode MS" w:cs="Times New Roman"/>
                <w:bCs w:val="0"/>
                <w:color w:val="003A70"/>
                <w:lang w:val="en-GB"/>
              </w:rPr>
              <w:t>De Angelis, M.,</w:t>
            </w:r>
            <w:r w:rsidRPr="004F2E84">
              <w:rPr>
                <w:rFonts w:eastAsia="Arial Unicode MS" w:cs="Times New Roman"/>
                <w:color w:val="003A70"/>
                <w:lang w:val="en-GB"/>
              </w:rPr>
              <w:t xml:space="preserve"> </w:t>
            </w:r>
            <w:proofErr w:type="spellStart"/>
            <w:r w:rsidRPr="004F2E84">
              <w:rPr>
                <w:rFonts w:eastAsia="Arial Unicode MS" w:cs="Times New Roman"/>
                <w:color w:val="003A70"/>
              </w:rPr>
              <w:t>Bonezzi</w:t>
            </w:r>
            <w:proofErr w:type="spellEnd"/>
            <w:r w:rsidRPr="004F2E84">
              <w:rPr>
                <w:rFonts w:eastAsia="Arial Unicode MS" w:cs="Times New Roman"/>
                <w:color w:val="003A70"/>
              </w:rPr>
              <w:t>, A, Peluso, A.M., Rucker, D.D., and Costabile, M. (2012),</w:t>
            </w:r>
            <w:r w:rsidRPr="004F2E84">
              <w:rPr>
                <w:rFonts w:eastAsia="Arial Unicode MS" w:cs="Times New Roman"/>
                <w:color w:val="003A70"/>
                <w:lang w:val="en-GB"/>
              </w:rPr>
              <w:t xml:space="preserve"> “</w:t>
            </w:r>
            <w:r w:rsidRPr="004F2E84">
              <w:rPr>
                <w:rFonts w:eastAsia="Arial Unicode MS" w:cs="Times New Roman"/>
                <w:color w:val="003A70"/>
              </w:rPr>
              <w:t xml:space="preserve">On Braggarts and Gossips: A Self-Enhancement Account of Word-of-Mouth Generation and Transmission,” </w:t>
            </w:r>
            <w:r w:rsidRPr="004F2E84">
              <w:rPr>
                <w:rFonts w:eastAsia="Arial Unicode MS" w:cs="Times New Roman"/>
                <w:i/>
                <w:color w:val="003A70"/>
              </w:rPr>
              <w:t>Journal of Marketing Research</w:t>
            </w:r>
            <w:r w:rsidRPr="004F2E84">
              <w:rPr>
                <w:rFonts w:eastAsia="Arial Unicode MS" w:cs="Times New Roman"/>
                <w:color w:val="003A70"/>
              </w:rPr>
              <w:t xml:space="preserve">, 49 (4), 551-563. </w:t>
            </w:r>
          </w:p>
          <w:p w14:paraId="39E3532A" w14:textId="77777777" w:rsidR="00D821BC" w:rsidRPr="00FA0BA1" w:rsidRDefault="00D821BC" w:rsidP="00D821BC">
            <w:pPr>
              <w:pStyle w:val="TestoTabella"/>
              <w:ind w:left="720"/>
            </w:pPr>
          </w:p>
          <w:p w14:paraId="6C76E7CB" w14:textId="16FDE3FC" w:rsidR="00A930CA" w:rsidRPr="009926FA" w:rsidRDefault="00A930CA" w:rsidP="00A930CA">
            <w:pPr>
              <w:pStyle w:val="TestoTabella"/>
              <w:rPr>
                <w:b/>
                <w:bCs w:val="0"/>
              </w:rPr>
            </w:pPr>
            <w:r w:rsidRPr="009926FA">
              <w:rPr>
                <w:b/>
                <w:bCs w:val="0"/>
              </w:rPr>
              <w:t>Session 3:</w:t>
            </w:r>
            <w:r w:rsidR="00D821BC" w:rsidRPr="009926FA">
              <w:rPr>
                <w:b/>
                <w:bCs w:val="0"/>
              </w:rPr>
              <w:t xml:space="preserve"> 24 April, 2pm-5pm, Prof. </w:t>
            </w:r>
            <w:proofErr w:type="spellStart"/>
            <w:r w:rsidR="00D821BC" w:rsidRPr="009926FA">
              <w:rPr>
                <w:b/>
                <w:bCs w:val="0"/>
              </w:rPr>
              <w:t>Pozharliev</w:t>
            </w:r>
            <w:proofErr w:type="spellEnd"/>
          </w:p>
          <w:p w14:paraId="4382E5C8" w14:textId="73295548" w:rsidR="00585AA5" w:rsidRDefault="00585AA5" w:rsidP="00585AA5">
            <w:pPr>
              <w:pStyle w:val="TestoTabella"/>
              <w:numPr>
                <w:ilvl w:val="0"/>
                <w:numId w:val="29"/>
              </w:numPr>
            </w:pPr>
            <w:r>
              <w:t>Factors Shaping Sustainable Consumer Behavior</w:t>
            </w:r>
            <w:r w:rsidR="006D6B7D">
              <w:t>:</w:t>
            </w:r>
          </w:p>
          <w:p w14:paraId="4341F0D7" w14:textId="0C1206AC" w:rsidR="00BA50EC" w:rsidRDefault="00BA50EC" w:rsidP="00B154C6">
            <w:pPr>
              <w:pStyle w:val="TestoTabella"/>
              <w:numPr>
                <w:ilvl w:val="0"/>
                <w:numId w:val="32"/>
              </w:numPr>
              <w:rPr>
                <w:lang w:val="it-IT"/>
              </w:rPr>
            </w:pPr>
            <w:r w:rsidRPr="00AF59C4">
              <w:t>White, K., Habib, R., &amp; Hardisty, D. J. (2019). How to SHIFT consumer behaviors to be more sustainable: A literature review and guiding framework. </w:t>
            </w:r>
            <w:r w:rsidRPr="006D6B7D">
              <w:rPr>
                <w:i/>
                <w:iCs/>
                <w:lang w:val="it-IT"/>
              </w:rPr>
              <w:t>Journal of marketing</w:t>
            </w:r>
            <w:r w:rsidRPr="006D6B7D">
              <w:rPr>
                <w:lang w:val="it-IT"/>
              </w:rPr>
              <w:t>, </w:t>
            </w:r>
            <w:r w:rsidRPr="006D6B7D">
              <w:rPr>
                <w:i/>
                <w:iCs/>
                <w:lang w:val="it-IT"/>
              </w:rPr>
              <w:t>83</w:t>
            </w:r>
            <w:r w:rsidRPr="006D6B7D">
              <w:rPr>
                <w:lang w:val="it-IT"/>
              </w:rPr>
              <w:t>(3), 22-49.</w:t>
            </w:r>
          </w:p>
          <w:p w14:paraId="6FE3E0CE" w14:textId="77777777" w:rsidR="00B154C6" w:rsidRDefault="00B154C6" w:rsidP="00B154C6">
            <w:pPr>
              <w:pStyle w:val="TestoTabella"/>
              <w:ind w:left="1080"/>
              <w:rPr>
                <w:lang w:val="it-IT"/>
              </w:rPr>
            </w:pPr>
          </w:p>
          <w:p w14:paraId="32E721F4" w14:textId="557B7407" w:rsidR="001D382F" w:rsidRDefault="001D382F" w:rsidP="00B154C6">
            <w:pPr>
              <w:pStyle w:val="TestoTabella"/>
              <w:numPr>
                <w:ilvl w:val="0"/>
                <w:numId w:val="32"/>
              </w:numPr>
              <w:rPr>
                <w:lang w:val="it-IT"/>
              </w:rPr>
            </w:pPr>
            <w:proofErr w:type="spellStart"/>
            <w:r w:rsidRPr="001D382F">
              <w:rPr>
                <w:lang w:val="it-IT"/>
              </w:rPr>
              <w:t>Pozharliev</w:t>
            </w:r>
            <w:proofErr w:type="spellEnd"/>
            <w:r w:rsidRPr="001D382F">
              <w:rPr>
                <w:lang w:val="it-IT"/>
              </w:rPr>
              <w:t xml:space="preserve">, R., De Angelis, M., Rossi, D., </w:t>
            </w:r>
            <w:proofErr w:type="spellStart"/>
            <w:r w:rsidRPr="001D382F">
              <w:rPr>
                <w:lang w:val="it-IT"/>
              </w:rPr>
              <w:t>Bagozzi</w:t>
            </w:r>
            <w:proofErr w:type="spellEnd"/>
            <w:r w:rsidRPr="001D382F">
              <w:rPr>
                <w:lang w:val="it-IT"/>
              </w:rPr>
              <w:t xml:space="preserve">, R., &amp; Amatulli, C. (2023). </w:t>
            </w:r>
            <w:r w:rsidRPr="00AF59C4">
              <w:t>I might try it: Marketing actions to reduce consumer disgust toward insect-based food. </w:t>
            </w:r>
            <w:r w:rsidRPr="001D382F">
              <w:rPr>
                <w:i/>
                <w:iCs/>
                <w:lang w:val="it-IT"/>
              </w:rPr>
              <w:t xml:space="preserve">Journal of </w:t>
            </w:r>
            <w:proofErr w:type="spellStart"/>
            <w:r w:rsidRPr="001D382F">
              <w:rPr>
                <w:i/>
                <w:iCs/>
                <w:lang w:val="it-IT"/>
              </w:rPr>
              <w:t>Retailing</w:t>
            </w:r>
            <w:proofErr w:type="spellEnd"/>
            <w:r w:rsidRPr="001D382F">
              <w:rPr>
                <w:lang w:val="it-IT"/>
              </w:rPr>
              <w:t>, </w:t>
            </w:r>
            <w:r w:rsidRPr="001D382F">
              <w:rPr>
                <w:i/>
                <w:iCs/>
                <w:lang w:val="it-IT"/>
              </w:rPr>
              <w:t>99</w:t>
            </w:r>
            <w:r w:rsidRPr="001D382F">
              <w:rPr>
                <w:lang w:val="it-IT"/>
              </w:rPr>
              <w:t>(1), 149-167.</w:t>
            </w:r>
          </w:p>
          <w:p w14:paraId="24C6D78C" w14:textId="77777777" w:rsidR="001D382F" w:rsidRPr="00BA50EC" w:rsidRDefault="001D382F" w:rsidP="00BA50EC">
            <w:pPr>
              <w:pStyle w:val="TestoTabella"/>
              <w:ind w:left="720"/>
              <w:rPr>
                <w:lang w:val="it-IT"/>
              </w:rPr>
            </w:pPr>
          </w:p>
          <w:p w14:paraId="0691E2AB" w14:textId="53E9E4B6" w:rsidR="00BA50EC" w:rsidRDefault="000E1C01" w:rsidP="00585AA5">
            <w:pPr>
              <w:pStyle w:val="TestoTabella"/>
              <w:numPr>
                <w:ilvl w:val="0"/>
                <w:numId w:val="29"/>
              </w:numPr>
            </w:pPr>
            <w:r>
              <w:t xml:space="preserve">How </w:t>
            </w:r>
            <w:r w:rsidR="00D70D4C">
              <w:t>Scarcity</w:t>
            </w:r>
            <w:r>
              <w:t xml:space="preserve"> Shapes Consumer Behavior:</w:t>
            </w:r>
          </w:p>
          <w:p w14:paraId="66A6079B" w14:textId="5BE8D532" w:rsidR="000E1C01" w:rsidRPr="00AF59C4" w:rsidRDefault="000E1C01" w:rsidP="000E1C01">
            <w:pPr>
              <w:pStyle w:val="TestoTabella"/>
              <w:numPr>
                <w:ilvl w:val="0"/>
                <w:numId w:val="33"/>
              </w:numPr>
            </w:pPr>
            <w:r w:rsidRPr="00AF59C4">
              <w:t xml:space="preserve">Hamilton, R. W., Mittal, C., Shah, A., Thompson, D. V., &amp; </w:t>
            </w:r>
            <w:proofErr w:type="spellStart"/>
            <w:r w:rsidRPr="00AF59C4">
              <w:t>Griskevicius</w:t>
            </w:r>
            <w:proofErr w:type="spellEnd"/>
            <w:r w:rsidRPr="00AF59C4">
              <w:t>, V. (2019). How financial constraints influence consumer behavior: An integrative framework. </w:t>
            </w:r>
            <w:r w:rsidRPr="00AF59C4">
              <w:rPr>
                <w:i/>
                <w:iCs/>
              </w:rPr>
              <w:t>Journal of Consumer Psychology</w:t>
            </w:r>
            <w:r w:rsidRPr="00AF59C4">
              <w:t>, </w:t>
            </w:r>
            <w:r w:rsidRPr="00AF59C4">
              <w:rPr>
                <w:i/>
                <w:iCs/>
              </w:rPr>
              <w:t>29</w:t>
            </w:r>
            <w:r w:rsidRPr="00AF59C4">
              <w:t>(2), 285-305.</w:t>
            </w:r>
          </w:p>
          <w:p w14:paraId="6EF99ED8" w14:textId="77777777" w:rsidR="003B5EE0" w:rsidRPr="00AF59C4" w:rsidRDefault="003B5EE0" w:rsidP="003B5EE0">
            <w:pPr>
              <w:pStyle w:val="TestoTabella"/>
            </w:pPr>
          </w:p>
          <w:p w14:paraId="5A95E5F0" w14:textId="3CF34905" w:rsidR="000E1C01" w:rsidRDefault="000E1C01" w:rsidP="000E1C01">
            <w:pPr>
              <w:pStyle w:val="TestoTabella"/>
              <w:numPr>
                <w:ilvl w:val="0"/>
                <w:numId w:val="33"/>
              </w:numPr>
            </w:pPr>
            <w:r w:rsidRPr="00AF59C4">
              <w:t xml:space="preserve">Goldsmith, K., </w:t>
            </w:r>
            <w:proofErr w:type="spellStart"/>
            <w:r w:rsidRPr="00AF59C4">
              <w:t>Griskevicius</w:t>
            </w:r>
            <w:proofErr w:type="spellEnd"/>
            <w:r w:rsidRPr="00AF59C4">
              <w:t xml:space="preserve">, V., &amp; Hamilton, R. (2020). Scarcity and consumer decision making: Is scarcity a mindset, a threat, a reference point, or a </w:t>
            </w:r>
            <w:proofErr w:type="gramStart"/>
            <w:r w:rsidRPr="00AF59C4">
              <w:t>journey?.</w:t>
            </w:r>
            <w:proofErr w:type="gramEnd"/>
            <w:r w:rsidRPr="00AF59C4">
              <w:t> </w:t>
            </w:r>
            <w:r w:rsidRPr="000E1C01">
              <w:rPr>
                <w:i/>
                <w:iCs/>
                <w:lang w:val="it-IT"/>
              </w:rPr>
              <w:t xml:space="preserve">Journal of the Association for Consumer </w:t>
            </w:r>
            <w:proofErr w:type="spellStart"/>
            <w:r w:rsidRPr="000E1C01">
              <w:rPr>
                <w:i/>
                <w:iCs/>
                <w:lang w:val="it-IT"/>
              </w:rPr>
              <w:t>Research</w:t>
            </w:r>
            <w:proofErr w:type="spellEnd"/>
            <w:r w:rsidRPr="000E1C01">
              <w:rPr>
                <w:lang w:val="it-IT"/>
              </w:rPr>
              <w:t>, </w:t>
            </w:r>
            <w:r w:rsidRPr="000E1C01">
              <w:rPr>
                <w:i/>
                <w:iCs/>
                <w:lang w:val="it-IT"/>
              </w:rPr>
              <w:t>5</w:t>
            </w:r>
            <w:r w:rsidRPr="000E1C01">
              <w:rPr>
                <w:lang w:val="it-IT"/>
              </w:rPr>
              <w:t>(4), 358-364.</w:t>
            </w:r>
          </w:p>
          <w:p w14:paraId="63779AE3" w14:textId="77777777" w:rsidR="006D6B7D" w:rsidRPr="00585AA5" w:rsidRDefault="006D6B7D" w:rsidP="00D63998">
            <w:pPr>
              <w:pStyle w:val="TestoTabella"/>
            </w:pPr>
          </w:p>
          <w:p w14:paraId="15780C8E" w14:textId="4EBD5456" w:rsidR="00A930CA" w:rsidRPr="009926FA" w:rsidRDefault="00A930CA" w:rsidP="00A930CA">
            <w:pPr>
              <w:pStyle w:val="TestoTabella"/>
              <w:rPr>
                <w:b/>
                <w:bCs w:val="0"/>
              </w:rPr>
            </w:pPr>
            <w:r w:rsidRPr="009926FA">
              <w:rPr>
                <w:b/>
                <w:bCs w:val="0"/>
              </w:rPr>
              <w:t>Session 4:</w:t>
            </w:r>
            <w:r w:rsidR="00D821BC" w:rsidRPr="009926FA">
              <w:rPr>
                <w:b/>
                <w:bCs w:val="0"/>
              </w:rPr>
              <w:t xml:space="preserve"> April 28, 10am-1pm, Prof. </w:t>
            </w:r>
            <w:proofErr w:type="spellStart"/>
            <w:r w:rsidR="00D821BC" w:rsidRPr="009926FA">
              <w:rPr>
                <w:b/>
                <w:bCs w:val="0"/>
              </w:rPr>
              <w:t>Pozharliev</w:t>
            </w:r>
            <w:proofErr w:type="spellEnd"/>
          </w:p>
          <w:p w14:paraId="17C873D4" w14:textId="6FDBAE53" w:rsidR="009D3234" w:rsidRPr="00B2011C" w:rsidRDefault="00494A7A" w:rsidP="00B2011C">
            <w:pPr>
              <w:pStyle w:val="TestoTabella"/>
              <w:numPr>
                <w:ilvl w:val="0"/>
                <w:numId w:val="29"/>
              </w:numPr>
            </w:pPr>
            <w:r>
              <w:t xml:space="preserve">Social Media </w:t>
            </w:r>
            <w:r w:rsidR="009D3234">
              <w:t>and Consumer Behavior</w:t>
            </w:r>
          </w:p>
          <w:p w14:paraId="567508E6" w14:textId="77777777" w:rsidR="00DC7681" w:rsidRPr="00DC7681" w:rsidRDefault="009D3234" w:rsidP="00DC7681">
            <w:pPr>
              <w:pStyle w:val="TestoTabella"/>
              <w:numPr>
                <w:ilvl w:val="0"/>
                <w:numId w:val="35"/>
              </w:numPr>
            </w:pPr>
            <w:r w:rsidRPr="00AF59C4">
              <w:t xml:space="preserve">Rizzo, G. C., </w:t>
            </w:r>
            <w:proofErr w:type="spellStart"/>
            <w:r w:rsidRPr="00AF59C4">
              <w:t>Ordenes</w:t>
            </w:r>
            <w:proofErr w:type="spellEnd"/>
            <w:r w:rsidRPr="00AF59C4">
              <w:t xml:space="preserve">, F. V., </w:t>
            </w:r>
            <w:proofErr w:type="spellStart"/>
            <w:r w:rsidRPr="00AF59C4">
              <w:t>Pozharliev</w:t>
            </w:r>
            <w:proofErr w:type="spellEnd"/>
            <w:r w:rsidRPr="00AF59C4">
              <w:t>, R., De Angelis, M., &amp; Costabile, M. (2024). How high-arousal language shapes micro-versus macro-influencers’ impact. </w:t>
            </w:r>
            <w:r w:rsidRPr="009D3234">
              <w:rPr>
                <w:i/>
                <w:iCs/>
                <w:lang w:val="it-IT"/>
              </w:rPr>
              <w:t>Journal of Marketing</w:t>
            </w:r>
            <w:r w:rsidRPr="009D3234">
              <w:rPr>
                <w:lang w:val="it-IT"/>
              </w:rPr>
              <w:t>, </w:t>
            </w:r>
            <w:r w:rsidRPr="009D3234">
              <w:rPr>
                <w:i/>
                <w:iCs/>
                <w:lang w:val="it-IT"/>
              </w:rPr>
              <w:t>88</w:t>
            </w:r>
            <w:r w:rsidRPr="009D3234">
              <w:rPr>
                <w:lang w:val="it-IT"/>
              </w:rPr>
              <w:t>(4), 107-128.</w:t>
            </w:r>
          </w:p>
          <w:p w14:paraId="63C26B48" w14:textId="77777777" w:rsidR="00DC7681" w:rsidRDefault="00DC7681" w:rsidP="00DC7681">
            <w:pPr>
              <w:pStyle w:val="TestoTabella"/>
              <w:ind w:left="1080"/>
            </w:pPr>
          </w:p>
          <w:p w14:paraId="780BBF34" w14:textId="3553446E" w:rsidR="003C382A" w:rsidRPr="00DC7681" w:rsidRDefault="003C382A" w:rsidP="00DC7681">
            <w:pPr>
              <w:pStyle w:val="TestoTabella"/>
              <w:numPr>
                <w:ilvl w:val="0"/>
                <w:numId w:val="35"/>
              </w:numPr>
            </w:pPr>
            <w:r w:rsidRPr="00AF59C4">
              <w:t>Zhou, X., Yan, X., &amp; Jiang, Y. (2024). Making sense? The sensory-specific nature of virtual influencer effectiveness. </w:t>
            </w:r>
            <w:r w:rsidRPr="00DC7681">
              <w:rPr>
                <w:i/>
                <w:iCs/>
                <w:lang w:val="it-IT"/>
              </w:rPr>
              <w:t>Journal of Marketing</w:t>
            </w:r>
            <w:r w:rsidRPr="00952CB3">
              <w:rPr>
                <w:lang w:val="it-IT"/>
              </w:rPr>
              <w:t>, </w:t>
            </w:r>
            <w:r w:rsidRPr="00DC7681">
              <w:rPr>
                <w:i/>
                <w:iCs/>
                <w:lang w:val="it-IT"/>
              </w:rPr>
              <w:t>88</w:t>
            </w:r>
            <w:r w:rsidRPr="00952CB3">
              <w:rPr>
                <w:lang w:val="it-IT"/>
              </w:rPr>
              <w:t>(4), 84-106.</w:t>
            </w:r>
          </w:p>
          <w:p w14:paraId="4D8EB4E8" w14:textId="77777777" w:rsidR="009D3234" w:rsidRPr="00FA0BA1" w:rsidRDefault="009D3234" w:rsidP="00DF710D">
            <w:pPr>
              <w:pStyle w:val="TestoTabella"/>
            </w:pPr>
          </w:p>
          <w:p w14:paraId="184D2A2E" w14:textId="7CE29515" w:rsidR="00A930CA" w:rsidRPr="00AF59C4" w:rsidRDefault="00A930CA" w:rsidP="00A930CA">
            <w:pPr>
              <w:pStyle w:val="TestoTabella"/>
              <w:rPr>
                <w:b/>
                <w:bCs w:val="0"/>
              </w:rPr>
            </w:pPr>
            <w:r w:rsidRPr="00AF59C4">
              <w:rPr>
                <w:b/>
                <w:bCs w:val="0"/>
              </w:rPr>
              <w:t>Session 5:</w:t>
            </w:r>
            <w:r w:rsidR="00D821BC" w:rsidRPr="00AF59C4">
              <w:rPr>
                <w:b/>
                <w:bCs w:val="0"/>
              </w:rPr>
              <w:t xml:space="preserve"> April 30, 2pm-5pm, Prof. De Angelis</w:t>
            </w:r>
          </w:p>
          <w:p w14:paraId="1483CAF4" w14:textId="1F4DE230" w:rsidR="00AF59C4" w:rsidRPr="00B2011C" w:rsidRDefault="00AF59C4" w:rsidP="00AF59C4">
            <w:pPr>
              <w:pStyle w:val="TestoTabella"/>
              <w:numPr>
                <w:ilvl w:val="0"/>
                <w:numId w:val="29"/>
              </w:numPr>
            </w:pPr>
            <w:r>
              <w:t>Consumer</w:t>
            </w:r>
            <w:r w:rsidR="00ED5FEB">
              <w:t>s</w:t>
            </w:r>
            <w:r>
              <w:t xml:space="preserve"> and AI</w:t>
            </w:r>
          </w:p>
          <w:p w14:paraId="7C0EC8EF" w14:textId="7751E6D9" w:rsidR="00AF59C4" w:rsidRDefault="00AF59C4" w:rsidP="00AF59C4">
            <w:pPr>
              <w:pStyle w:val="TestoTabella"/>
              <w:numPr>
                <w:ilvl w:val="0"/>
                <w:numId w:val="37"/>
              </w:numPr>
              <w:ind w:left="1109" w:hanging="284"/>
            </w:pPr>
            <w:r w:rsidRPr="00AF59C4">
              <w:t xml:space="preserve">Hermann, Erik, Julian De Freitas, and Stefano </w:t>
            </w:r>
            <w:proofErr w:type="spellStart"/>
            <w:r w:rsidRPr="00AF59C4">
              <w:t>Puntoni</w:t>
            </w:r>
            <w:proofErr w:type="spellEnd"/>
            <w:r w:rsidRPr="00AF59C4">
              <w:t>. "Reducing prejudice with counter‐stereotypical AI." Consumer Psychology Review (2025).</w:t>
            </w:r>
          </w:p>
          <w:p w14:paraId="6D430D65" w14:textId="5F4E11AF" w:rsidR="00AF59C4" w:rsidRDefault="00AF59C4" w:rsidP="00AF59C4">
            <w:pPr>
              <w:pStyle w:val="TestoTabella"/>
              <w:numPr>
                <w:ilvl w:val="0"/>
                <w:numId w:val="37"/>
              </w:numPr>
              <w:ind w:left="1109" w:hanging="284"/>
            </w:pPr>
            <w:r w:rsidRPr="00AF59C4">
              <w:t xml:space="preserve">Hermann, Erik, and Stefano </w:t>
            </w:r>
            <w:proofErr w:type="spellStart"/>
            <w:r w:rsidRPr="00AF59C4">
              <w:t>Puntoni</w:t>
            </w:r>
            <w:proofErr w:type="spellEnd"/>
            <w:r w:rsidRPr="00AF59C4">
              <w:t>. "Artificial intelligence and consumer behavior: From predictive to generative AI." Journal of Business Research 180 (2024): 114720.</w:t>
            </w:r>
          </w:p>
          <w:p w14:paraId="66E8FCDF" w14:textId="5D5170E7" w:rsidR="00AF59C4" w:rsidRDefault="00AF59C4" w:rsidP="00AF59C4">
            <w:pPr>
              <w:pStyle w:val="TestoTabella"/>
              <w:numPr>
                <w:ilvl w:val="0"/>
                <w:numId w:val="37"/>
              </w:numPr>
              <w:ind w:left="1109" w:hanging="284"/>
            </w:pPr>
            <w:r w:rsidRPr="00AF59C4">
              <w:t xml:space="preserve">De Freitas, J., </w:t>
            </w:r>
            <w:proofErr w:type="spellStart"/>
            <w:r w:rsidRPr="00AF59C4">
              <w:t>Uguralp</w:t>
            </w:r>
            <w:proofErr w:type="spellEnd"/>
            <w:r w:rsidRPr="00AF59C4">
              <w:t xml:space="preserve">, A., </w:t>
            </w:r>
            <w:proofErr w:type="spellStart"/>
            <w:r w:rsidRPr="00AF59C4">
              <w:t>Uguralp</w:t>
            </w:r>
            <w:proofErr w:type="spellEnd"/>
            <w:r w:rsidRPr="00AF59C4">
              <w:t xml:space="preserve">, P., and </w:t>
            </w:r>
            <w:proofErr w:type="spellStart"/>
            <w:r w:rsidRPr="00AF59C4">
              <w:t>Puntoni</w:t>
            </w:r>
            <w:proofErr w:type="spellEnd"/>
            <w:r w:rsidRPr="00AF59C4">
              <w:t xml:space="preserve"> S. (2025), “AI Companions Reduce Loneliness”, working paper</w:t>
            </w:r>
          </w:p>
          <w:p w14:paraId="0B3223CE" w14:textId="72112B2B" w:rsidR="00AF59C4" w:rsidRDefault="00AF59C4" w:rsidP="00AF59C4">
            <w:pPr>
              <w:pStyle w:val="TestoTabella"/>
              <w:numPr>
                <w:ilvl w:val="0"/>
                <w:numId w:val="37"/>
              </w:numPr>
              <w:ind w:left="1109" w:hanging="284"/>
            </w:pPr>
            <w:r w:rsidRPr="00AF59C4">
              <w:t>Valenzuela, Ana, et al. "How artificial intelligence constrains the human experience." Journal of the Association for Consumer Research 9.3 (2024)</w:t>
            </w:r>
            <w:r>
              <w:t>.</w:t>
            </w:r>
          </w:p>
          <w:p w14:paraId="5015F646" w14:textId="575AB856" w:rsidR="00ED5FEB" w:rsidRPr="00ED5FEB" w:rsidRDefault="00ED5FEB" w:rsidP="00AF59C4">
            <w:pPr>
              <w:pStyle w:val="TestoTabella"/>
              <w:numPr>
                <w:ilvl w:val="0"/>
                <w:numId w:val="37"/>
              </w:numPr>
              <w:ind w:left="1109" w:hanging="284"/>
            </w:pPr>
            <w:proofErr w:type="spellStart"/>
            <w:r w:rsidRPr="00ED5FEB">
              <w:t>Baccelloni</w:t>
            </w:r>
            <w:proofErr w:type="spellEnd"/>
            <w:r w:rsidRPr="00ED5FEB">
              <w:t xml:space="preserve">, A., De Angelis, M., </w:t>
            </w:r>
            <w:proofErr w:type="spellStart"/>
            <w:r w:rsidRPr="00ED5FEB">
              <w:t>Mazzù</w:t>
            </w:r>
            <w:proofErr w:type="spellEnd"/>
            <w:r w:rsidRPr="00ED5FEB">
              <w:t>, M.F.M, and Ricotta, F. (2025), “</w:t>
            </w:r>
            <w:r>
              <w:t>When the Fit is Too Tight: Unveiling the Effects of Recommendation Agents’ Specialization on Users’ Choice Outcomes</w:t>
            </w:r>
            <w:r>
              <w:t>”, working paper.</w:t>
            </w:r>
          </w:p>
          <w:p w14:paraId="3A34C04A" w14:textId="6B39D09D" w:rsidR="00A930CA" w:rsidRPr="00ED5FEB" w:rsidRDefault="00A930CA" w:rsidP="00A930CA">
            <w:pPr>
              <w:pStyle w:val="TestoTabella"/>
            </w:pPr>
          </w:p>
          <w:p w14:paraId="24CAA36C" w14:textId="00B1A5DD" w:rsidR="0058399D" w:rsidRPr="00ED5FEB" w:rsidRDefault="0058399D" w:rsidP="005A670C">
            <w:pPr>
              <w:pStyle w:val="TestoTabella"/>
            </w:pPr>
          </w:p>
        </w:tc>
      </w:tr>
      <w:tr w:rsidR="001D009E" w:rsidRPr="00AF59C4" w14:paraId="4CD03387" w14:textId="77777777" w:rsidTr="00FA0BA1">
        <w:trPr>
          <w:trHeight w:val="283"/>
        </w:trPr>
        <w:tc>
          <w:tcPr>
            <w:tcW w:w="2127" w:type="dxa"/>
            <w:vAlign w:val="top"/>
          </w:tcPr>
          <w:p w14:paraId="5C96FF44" w14:textId="06DC1B48" w:rsidR="00B07BB7" w:rsidRPr="00FA0BA1" w:rsidRDefault="00FA0BA1" w:rsidP="008D4010">
            <w:pPr>
              <w:pStyle w:val="TestoTabella"/>
              <w:rPr>
                <w:highlight w:val="yellow"/>
                <w:lang w:val="it-IT"/>
              </w:rPr>
            </w:pPr>
            <w:r w:rsidRPr="00FA0BA1">
              <w:rPr>
                <w:lang w:val="it-IT"/>
              </w:rPr>
              <w:lastRenderedPageBreak/>
              <w:t>TESTI DI RIFERIMENTO / REFERENCE BOOKS</w:t>
            </w:r>
          </w:p>
        </w:tc>
        <w:tc>
          <w:tcPr>
            <w:tcW w:w="6662" w:type="dxa"/>
            <w:vAlign w:val="top"/>
          </w:tcPr>
          <w:p w14:paraId="5DEB9779" w14:textId="47E9105E" w:rsidR="00A930CA" w:rsidRPr="00FA0BA1" w:rsidRDefault="005A670C" w:rsidP="00A930CA">
            <w:pPr>
              <w:pStyle w:val="TestoTabella"/>
            </w:pPr>
            <w:r>
              <w:t>Scientific papers (see course content)</w:t>
            </w:r>
          </w:p>
          <w:p w14:paraId="27CBB44A" w14:textId="0996A8F8" w:rsidR="00B07BB7" w:rsidRPr="00FA0BA1" w:rsidRDefault="00B07BB7" w:rsidP="008D4010">
            <w:pPr>
              <w:pStyle w:val="TestoTabella"/>
              <w:rPr>
                <w:highlight w:val="yellow"/>
              </w:rPr>
            </w:pPr>
          </w:p>
        </w:tc>
      </w:tr>
      <w:tr w:rsidR="001D009E" w:rsidRPr="00AF59C4" w14:paraId="63DBA163" w14:textId="77777777" w:rsidTr="00FA0BA1">
        <w:trPr>
          <w:trHeight w:val="283"/>
        </w:trPr>
        <w:tc>
          <w:tcPr>
            <w:tcW w:w="2127" w:type="dxa"/>
            <w:vAlign w:val="top"/>
          </w:tcPr>
          <w:p w14:paraId="6A55A82B" w14:textId="1BBFCAF7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METODOLOGIE DIDATTICHE/ TEACHING METHODS</w:t>
            </w:r>
          </w:p>
        </w:tc>
        <w:tc>
          <w:tcPr>
            <w:tcW w:w="6662" w:type="dxa"/>
            <w:vAlign w:val="top"/>
          </w:tcPr>
          <w:p w14:paraId="73216990" w14:textId="3DF03E0E" w:rsidR="00B07BB7" w:rsidRPr="00FA0BA1" w:rsidRDefault="00D44C66" w:rsidP="00A930CA">
            <w:pPr>
              <w:pStyle w:val="TestoTabella"/>
              <w:rPr>
                <w:highlight w:val="yellow"/>
              </w:rPr>
            </w:pPr>
            <w:r w:rsidRPr="005A670C">
              <w:t>The students will read papers and other materials before class and discuss</w:t>
            </w:r>
            <w:r w:rsidR="005A670C">
              <w:t>/present</w:t>
            </w:r>
            <w:r w:rsidRPr="005A670C">
              <w:t xml:space="preserve"> them in class under the guidance of the instructor</w:t>
            </w:r>
          </w:p>
        </w:tc>
      </w:tr>
      <w:tr w:rsidR="00824C2A" w:rsidRPr="00AF59C4" w14:paraId="527C83C7" w14:textId="77777777" w:rsidTr="00FA0BA1">
        <w:trPr>
          <w:trHeight w:val="283"/>
        </w:trPr>
        <w:tc>
          <w:tcPr>
            <w:tcW w:w="2127" w:type="dxa"/>
            <w:vAlign w:val="top"/>
          </w:tcPr>
          <w:p w14:paraId="7BCB3857" w14:textId="2779725B" w:rsidR="00B07BB7" w:rsidRPr="00FA0BA1" w:rsidRDefault="00FA0BA1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 xml:space="preserve">MODALITÀ DI VERIFICA E DI ACCERTAMENTO </w:t>
            </w:r>
            <w:r w:rsidRPr="00FA0BA1">
              <w:rPr>
                <w:lang w:val="it-IT"/>
              </w:rPr>
              <w:lastRenderedPageBreak/>
              <w:t>DELL’APPRENDIMENTO/ DETAILED DESCRIPTION OF ASSESSMENT METHOD</w:t>
            </w:r>
          </w:p>
        </w:tc>
        <w:tc>
          <w:tcPr>
            <w:tcW w:w="6662" w:type="dxa"/>
            <w:vAlign w:val="top"/>
          </w:tcPr>
          <w:p w14:paraId="315EDD70" w14:textId="15ED02E8" w:rsidR="00A930CA" w:rsidRPr="009771BB" w:rsidRDefault="009827E1" w:rsidP="00A930CA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9771BB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lastRenderedPageBreak/>
              <w:t>Participation in class discussion (30%)</w:t>
            </w:r>
          </w:p>
          <w:p w14:paraId="1A25462B" w14:textId="6A17E2A6" w:rsidR="00B07BB7" w:rsidRPr="009771BB" w:rsidRDefault="009827E1" w:rsidP="00A930CA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9771BB">
              <w:rPr>
                <w:color w:val="003A65"/>
              </w:rPr>
              <w:t xml:space="preserve">Final assignment (70%): Prepare a first draft of your research proposal, including: </w:t>
            </w:r>
            <w:r w:rsidRPr="009771BB">
              <w:rPr>
                <w:color w:val="003A65"/>
              </w:rPr>
              <w:lastRenderedPageBreak/>
              <w:t xml:space="preserve">research problem and research questions, relevant theories and a first version of research design (choice and justification of a quantitative/qualitative research design, potential methods, data </w:t>
            </w:r>
            <w:r w:rsidR="00055A3E" w:rsidRPr="009771BB">
              <w:rPr>
                <w:color w:val="003A65"/>
              </w:rPr>
              <w:t>availability</w:t>
            </w:r>
            <w:r w:rsidR="00A930CA" w:rsidRPr="009771BB">
              <w:rPr>
                <w:color w:val="003A65"/>
              </w:rPr>
              <w:t>)</w:t>
            </w:r>
          </w:p>
          <w:p w14:paraId="4505A77F" w14:textId="77777777" w:rsidR="00055A3E" w:rsidRPr="00FA0BA1" w:rsidRDefault="00055A3E" w:rsidP="00286B65">
            <w:pPr>
              <w:jc w:val="both"/>
              <w:rPr>
                <w:i/>
                <w:color w:val="2F5496" w:themeColor="accent1" w:themeShade="BF"/>
                <w:lang w:val="en-GB"/>
              </w:rPr>
            </w:pPr>
          </w:p>
          <w:p w14:paraId="0D9F7ED1" w14:textId="3B0B8BF9" w:rsidR="00286B65" w:rsidRPr="00FA0BA1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FA0BA1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Evaluation criteria of assignment –</w:t>
            </w:r>
            <w:r w:rsidRPr="00FA0BA1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The Academic Grading System valid in US is used for the evaluation of the students: an ‘A’ grade requires deep reflections, critical insights, and effective analysis; a ‘B’ grade requires understanding of course materials, clear and logical thinking. Lower grades mean that students lack these requirements. </w:t>
            </w:r>
          </w:p>
          <w:p w14:paraId="3AD0D272" w14:textId="77777777" w:rsidR="00286B65" w:rsidRPr="00FA0BA1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FA0BA1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Late assignment policy –</w:t>
            </w:r>
            <w:r w:rsidRPr="00FA0BA1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Students must appreciate assignment due dates as proper deadlines. Barring serious problems, late assignments will be marked down.</w:t>
            </w:r>
          </w:p>
          <w:p w14:paraId="767F4F47" w14:textId="77777777" w:rsidR="00286B65" w:rsidRPr="00FA0BA1" w:rsidRDefault="00286B65" w:rsidP="00286B65">
            <w:pPr>
              <w:pStyle w:val="TestoTabella"/>
            </w:pPr>
            <w:r w:rsidRPr="00FA0BA1">
              <w:rPr>
                <w:b/>
                <w:bCs w:val="0"/>
              </w:rPr>
              <w:t>Final Grades Releasing–</w:t>
            </w:r>
            <w:r w:rsidRPr="00FA0BA1">
              <w:t xml:space="preserve"> Final grades with specific feedback on attendance/participation and performance will be release to each student via email within one month from the due date of the Final Assignment.</w:t>
            </w:r>
          </w:p>
          <w:p w14:paraId="3E3D5898" w14:textId="15BFB494" w:rsidR="00922D4E" w:rsidRPr="00FA0BA1" w:rsidRDefault="00922D4E" w:rsidP="00286B65">
            <w:pPr>
              <w:pStyle w:val="TestoTabella"/>
            </w:pPr>
          </w:p>
        </w:tc>
      </w:tr>
    </w:tbl>
    <w:p w14:paraId="3DBC53B4" w14:textId="77777777" w:rsidR="00B07BB7" w:rsidRPr="00FA0BA1" w:rsidRDefault="00B07BB7" w:rsidP="00BC27AC">
      <w:pPr>
        <w:autoSpaceDE w:val="0"/>
        <w:autoSpaceDN w:val="0"/>
        <w:adjustRightInd w:val="0"/>
        <w:spacing w:after="0" w:line="240" w:lineRule="auto"/>
        <w:ind w:right="815"/>
        <w:rPr>
          <w:rFonts w:ascii="Luiss Sans" w:hAnsi="Luiss Sans" w:cs="Tahoma"/>
          <w:color w:val="003A65"/>
          <w:lang w:val="en-US"/>
        </w:rPr>
      </w:pPr>
    </w:p>
    <w:sectPr w:rsidR="00B07BB7" w:rsidRPr="00FA0BA1" w:rsidSect="00CC2A15">
      <w:headerReference w:type="default" r:id="rId7"/>
      <w:footerReference w:type="default" r:id="rId8"/>
      <w:headerReference w:type="first" r:id="rId9"/>
      <w:footerReference w:type="first" r:id="rId10"/>
      <w:pgSz w:w="11906" w:h="17338"/>
      <w:pgMar w:top="1852" w:right="550" w:bottom="1134" w:left="90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1731" w14:textId="77777777" w:rsidR="00E13768" w:rsidRDefault="00E13768" w:rsidP="00806C3E">
      <w:pPr>
        <w:spacing w:after="0" w:line="240" w:lineRule="auto"/>
      </w:pPr>
      <w:r>
        <w:separator/>
      </w:r>
    </w:p>
  </w:endnote>
  <w:endnote w:type="continuationSeparator" w:id="0">
    <w:p w14:paraId="53B14257" w14:textId="77777777" w:rsidR="00E13768" w:rsidRDefault="00E13768" w:rsidP="008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iss Sans">
    <w:altName w:val="Calibri"/>
    <w:panose1 w:val="020B0604020202020204"/>
    <w:charset w:val="00"/>
    <w:family w:val="auto"/>
    <w:pitch w:val="variable"/>
    <w:sig w:usb0="800000AF" w:usb1="5000206A" w:usb2="00000000" w:usb3="00000000" w:csb0="00000001" w:csb1="00000000"/>
  </w:font>
  <w:font w:name="MetaPro Normal">
    <w:altName w:val="Calibri"/>
    <w:panose1 w:val="020B0604020202020204"/>
    <w:charset w:val="00"/>
    <w:family w:val="auto"/>
    <w:notTrueType/>
    <w:pitch w:val="variable"/>
    <w:sig w:usb0="800002AF" w:usb1="4000206B" w:usb2="00000000" w:usb3="00000000" w:csb0="0000009F" w:csb1="00000000"/>
  </w:font>
  <w:font w:name="MetaPro">
    <w:altName w:val="Calibri"/>
    <w:panose1 w:val="020B0604020202020204"/>
    <w:charset w:val="00"/>
    <w:family w:val="auto"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  <w:bdr w:val="none" w:sz="0" w:space="0" w:color="auto"/>
      </w:rPr>
      <w:id w:val="563226702"/>
      <w:docPartObj>
        <w:docPartGallery w:val="Page Numbers (Bottom of Page)"/>
        <w:docPartUnique/>
      </w:docPartObj>
    </w:sdtPr>
    <w:sdtContent>
      <w:p w14:paraId="65205E00" w14:textId="69E090B7" w:rsidR="00CC2A15" w:rsidRPr="00C61FBE" w:rsidRDefault="00CC2A15" w:rsidP="00CC2A15">
        <w:pPr>
          <w:pStyle w:val="TestatinePiedepaginaNumeri"/>
        </w:pPr>
        <w:r w:rsidRPr="00FE3CD5">
          <w:rPr>
            <w:sz w:val="20"/>
            <w:szCs w:val="20"/>
          </w:rPr>
          <w:t xml:space="preserve">Linee Guida per </w:t>
        </w:r>
        <w:r>
          <w:rPr>
            <w:sz w:val="20"/>
            <w:szCs w:val="20"/>
          </w:rPr>
          <w:t xml:space="preserve">la compilazione del </w:t>
        </w:r>
        <w:proofErr w:type="spellStart"/>
        <w:r>
          <w:rPr>
            <w:sz w:val="20"/>
            <w:szCs w:val="20"/>
          </w:rPr>
          <w:t>syllabus</w:t>
        </w:r>
        <w:proofErr w:type="spellEnd"/>
        <w:r>
          <w:tab/>
        </w:r>
        <w:r>
          <w:tab/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PAGE  \* MERGEFORMAT </w:instrText>
        </w:r>
        <w:r w:rsidRPr="00FE3CD5">
          <w:rPr>
            <w:sz w:val="20"/>
            <w:szCs w:val="20"/>
          </w:rPr>
          <w:fldChar w:fldCharType="separate"/>
        </w:r>
        <w:r>
          <w:t>1</w:t>
        </w:r>
        <w:r w:rsidRPr="00FE3CD5">
          <w:rPr>
            <w:sz w:val="20"/>
            <w:szCs w:val="20"/>
          </w:rPr>
          <w:fldChar w:fldCharType="end"/>
        </w:r>
        <w:r w:rsidRPr="00FE3CD5">
          <w:rPr>
            <w:sz w:val="20"/>
            <w:szCs w:val="20"/>
          </w:rPr>
          <w:t xml:space="preserve"> di </w:t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SECTIONPAGES  \* MERGEFORMAT </w:instrText>
        </w:r>
        <w:r w:rsidRPr="00FE3CD5">
          <w:rPr>
            <w:sz w:val="20"/>
            <w:szCs w:val="20"/>
          </w:rPr>
          <w:fldChar w:fldCharType="separate"/>
        </w:r>
        <w:r w:rsidR="00DF710D">
          <w:rPr>
            <w:noProof/>
            <w:sz w:val="20"/>
            <w:szCs w:val="20"/>
          </w:rPr>
          <w:t>3</w:t>
        </w:r>
        <w:r w:rsidRPr="00FE3CD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9C86" w14:textId="02D709FC" w:rsidR="00CC2A15" w:rsidRPr="00064948" w:rsidRDefault="00E00286" w:rsidP="00064948">
    <w:pPr>
      <w:pStyle w:val="TestatinePiedepaginaNumeri"/>
      <w:rPr>
        <w:sz w:val="20"/>
        <w:szCs w:val="20"/>
      </w:rPr>
    </w:pPr>
    <w:r>
      <w:rPr>
        <w:sz w:val="20"/>
        <w:szCs w:val="20"/>
      </w:rPr>
      <w:t>Settembre</w:t>
    </w:r>
    <w:r w:rsidR="00064948" w:rsidRPr="00064948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5FD5A" w14:textId="77777777" w:rsidR="00E13768" w:rsidRDefault="00E13768" w:rsidP="00806C3E">
      <w:pPr>
        <w:spacing w:after="0" w:line="240" w:lineRule="auto"/>
      </w:pPr>
      <w:r>
        <w:separator/>
      </w:r>
    </w:p>
  </w:footnote>
  <w:footnote w:type="continuationSeparator" w:id="0">
    <w:p w14:paraId="627CC441" w14:textId="77777777" w:rsidR="00E13768" w:rsidRDefault="00E13768" w:rsidP="008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94CC" w14:textId="77777777" w:rsidR="004C3B83" w:rsidRDefault="004C3B83" w:rsidP="00CC2A15">
    <w:pPr>
      <w:pStyle w:val="Intestazione"/>
      <w:spacing w:line="230" w:lineRule="exact"/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1312" behindDoc="0" locked="0" layoutInCell="1" allowOverlap="1" wp14:anchorId="1760EE75" wp14:editId="7CA8C981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E2F59" w14:textId="77777777" w:rsidR="00F32A76" w:rsidRPr="00F433ED" w:rsidRDefault="00F32A76" w:rsidP="00F43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75F1" w14:textId="77777777" w:rsidR="00CC2A15" w:rsidRPr="00F9313D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Libera Università Internazionale</w:t>
    </w:r>
  </w:p>
  <w:p w14:paraId="2BD98953" w14:textId="77777777" w:rsidR="00CC2A15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degli Studi Sociali Guido Carli</w:t>
    </w:r>
  </w:p>
  <w:p w14:paraId="537608C5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723B62AD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3360" behindDoc="0" locked="0" layoutInCell="1" allowOverlap="1" wp14:anchorId="7247533F" wp14:editId="35517B9E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8360" w14:textId="77777777" w:rsidR="00CC2A15" w:rsidRPr="005C046B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64CDF5E1" w14:textId="77777777" w:rsidR="00CC2A15" w:rsidRDefault="00CC2A15" w:rsidP="00CC2A15">
    <w:pPr>
      <w:pStyle w:val="Intestazione"/>
    </w:pPr>
  </w:p>
  <w:p w14:paraId="4C5EAA41" w14:textId="77777777" w:rsidR="00CC2A15" w:rsidRDefault="00CC2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3EE"/>
    <w:multiLevelType w:val="hybridMultilevel"/>
    <w:tmpl w:val="D46A7F54"/>
    <w:lvl w:ilvl="0" w:tplc="A5BCAC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0526"/>
    <w:multiLevelType w:val="hybridMultilevel"/>
    <w:tmpl w:val="61405FA0"/>
    <w:lvl w:ilvl="0" w:tplc="96548554">
      <w:numFmt w:val="bullet"/>
      <w:lvlText w:val="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666E60"/>
    <w:multiLevelType w:val="hybridMultilevel"/>
    <w:tmpl w:val="71983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385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3279"/>
    <w:multiLevelType w:val="hybridMultilevel"/>
    <w:tmpl w:val="2DDE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104E"/>
    <w:multiLevelType w:val="hybridMultilevel"/>
    <w:tmpl w:val="42F63E5A"/>
    <w:lvl w:ilvl="0" w:tplc="4BCC1EEE">
      <w:start w:val="1"/>
      <w:numFmt w:val="decimal"/>
      <w:lvlText w:val="[%1]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4638AC"/>
    <w:multiLevelType w:val="hybridMultilevel"/>
    <w:tmpl w:val="AB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F90"/>
    <w:multiLevelType w:val="hybridMultilevel"/>
    <w:tmpl w:val="90929F1A"/>
    <w:lvl w:ilvl="0" w:tplc="7EDC34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D56"/>
    <w:multiLevelType w:val="hybridMultilevel"/>
    <w:tmpl w:val="617C5992"/>
    <w:lvl w:ilvl="0" w:tplc="9C2CAA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10D82"/>
    <w:multiLevelType w:val="hybridMultilevel"/>
    <w:tmpl w:val="F31410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81046B"/>
    <w:multiLevelType w:val="hybridMultilevel"/>
    <w:tmpl w:val="78EA22D8"/>
    <w:lvl w:ilvl="0" w:tplc="0B62EB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E3FE8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7A8"/>
    <w:multiLevelType w:val="hybridMultilevel"/>
    <w:tmpl w:val="9022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603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071C0"/>
    <w:multiLevelType w:val="hybridMultilevel"/>
    <w:tmpl w:val="D0CE2AC6"/>
    <w:lvl w:ilvl="0" w:tplc="E956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BD8"/>
    <w:multiLevelType w:val="hybridMultilevel"/>
    <w:tmpl w:val="CFB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5DDA"/>
    <w:multiLevelType w:val="hybridMultilevel"/>
    <w:tmpl w:val="69543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2346E"/>
    <w:multiLevelType w:val="hybridMultilevel"/>
    <w:tmpl w:val="1DDCD5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4C3FAC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85C62"/>
    <w:multiLevelType w:val="hybridMultilevel"/>
    <w:tmpl w:val="CD9A43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DAD567A"/>
    <w:multiLevelType w:val="hybridMultilevel"/>
    <w:tmpl w:val="E324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071DD"/>
    <w:multiLevelType w:val="hybridMultilevel"/>
    <w:tmpl w:val="D87A6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B7C30"/>
    <w:multiLevelType w:val="hybridMultilevel"/>
    <w:tmpl w:val="36BC4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60681"/>
    <w:multiLevelType w:val="multilevel"/>
    <w:tmpl w:val="4CC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C292B"/>
    <w:multiLevelType w:val="hybridMultilevel"/>
    <w:tmpl w:val="1F38104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1FC7324"/>
    <w:multiLevelType w:val="hybridMultilevel"/>
    <w:tmpl w:val="BCAA3F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290546"/>
    <w:multiLevelType w:val="hybridMultilevel"/>
    <w:tmpl w:val="61E88CFA"/>
    <w:lvl w:ilvl="0" w:tplc="05AAC0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027DF"/>
    <w:multiLevelType w:val="hybridMultilevel"/>
    <w:tmpl w:val="2C562944"/>
    <w:lvl w:ilvl="0" w:tplc="456E0E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8717F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B0721"/>
    <w:multiLevelType w:val="hybridMultilevel"/>
    <w:tmpl w:val="39189F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68683B"/>
    <w:multiLevelType w:val="hybridMultilevel"/>
    <w:tmpl w:val="FF60D252"/>
    <w:lvl w:ilvl="0" w:tplc="6C28D786">
      <w:start w:val="1"/>
      <w:numFmt w:val="lowerLetter"/>
      <w:lvlText w:val="%1)"/>
      <w:lvlJc w:val="left"/>
      <w:pPr>
        <w:ind w:left="2646" w:hanging="360"/>
      </w:pPr>
      <w:rPr>
        <w:rFonts w:hint="default"/>
        <w:b/>
      </w:rPr>
    </w:lvl>
    <w:lvl w:ilvl="1" w:tplc="28D86D02">
      <w:start w:val="1"/>
      <w:numFmt w:val="decimal"/>
      <w:lvlText w:val="%2."/>
      <w:lvlJc w:val="left"/>
      <w:pPr>
        <w:ind w:left="33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086" w:hanging="180"/>
      </w:pPr>
    </w:lvl>
    <w:lvl w:ilvl="3" w:tplc="0410000F" w:tentative="1">
      <w:start w:val="1"/>
      <w:numFmt w:val="decimal"/>
      <w:lvlText w:val="%4."/>
      <w:lvlJc w:val="left"/>
      <w:pPr>
        <w:ind w:left="4806" w:hanging="360"/>
      </w:pPr>
    </w:lvl>
    <w:lvl w:ilvl="4" w:tplc="04100019" w:tentative="1">
      <w:start w:val="1"/>
      <w:numFmt w:val="lowerLetter"/>
      <w:lvlText w:val="%5."/>
      <w:lvlJc w:val="left"/>
      <w:pPr>
        <w:ind w:left="5526" w:hanging="360"/>
      </w:pPr>
    </w:lvl>
    <w:lvl w:ilvl="5" w:tplc="0410001B" w:tentative="1">
      <w:start w:val="1"/>
      <w:numFmt w:val="lowerRoman"/>
      <w:lvlText w:val="%6."/>
      <w:lvlJc w:val="right"/>
      <w:pPr>
        <w:ind w:left="6246" w:hanging="180"/>
      </w:pPr>
    </w:lvl>
    <w:lvl w:ilvl="6" w:tplc="0410000F" w:tentative="1">
      <w:start w:val="1"/>
      <w:numFmt w:val="decimal"/>
      <w:lvlText w:val="%7."/>
      <w:lvlJc w:val="left"/>
      <w:pPr>
        <w:ind w:left="6966" w:hanging="360"/>
      </w:pPr>
    </w:lvl>
    <w:lvl w:ilvl="7" w:tplc="04100019" w:tentative="1">
      <w:start w:val="1"/>
      <w:numFmt w:val="lowerLetter"/>
      <w:lvlText w:val="%8."/>
      <w:lvlJc w:val="left"/>
      <w:pPr>
        <w:ind w:left="7686" w:hanging="360"/>
      </w:pPr>
    </w:lvl>
    <w:lvl w:ilvl="8" w:tplc="0410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30" w15:restartNumberingAfterBreak="0">
    <w:nsid w:val="60AD2050"/>
    <w:multiLevelType w:val="hybridMultilevel"/>
    <w:tmpl w:val="210AD8A0"/>
    <w:lvl w:ilvl="0" w:tplc="FAD45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25D36"/>
    <w:multiLevelType w:val="hybridMultilevel"/>
    <w:tmpl w:val="AA4EFD60"/>
    <w:lvl w:ilvl="0" w:tplc="E4BA5A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512E37"/>
    <w:multiLevelType w:val="hybridMultilevel"/>
    <w:tmpl w:val="71427276"/>
    <w:lvl w:ilvl="0" w:tplc="D9F4D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B7C6C"/>
    <w:multiLevelType w:val="hybridMultilevel"/>
    <w:tmpl w:val="0BC4DF40"/>
    <w:lvl w:ilvl="0" w:tplc="F998D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41E5B"/>
    <w:multiLevelType w:val="hybridMultilevel"/>
    <w:tmpl w:val="9C248758"/>
    <w:lvl w:ilvl="0" w:tplc="5FF6C4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94603"/>
    <w:multiLevelType w:val="hybridMultilevel"/>
    <w:tmpl w:val="494651F8"/>
    <w:lvl w:ilvl="0" w:tplc="0158D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C7C55"/>
    <w:multiLevelType w:val="hybridMultilevel"/>
    <w:tmpl w:val="50F4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245A4"/>
    <w:multiLevelType w:val="hybridMultilevel"/>
    <w:tmpl w:val="642EC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8406">
    <w:abstractNumId w:val="24"/>
  </w:num>
  <w:num w:numId="2" w16cid:durableId="1968776778">
    <w:abstractNumId w:val="4"/>
  </w:num>
  <w:num w:numId="3" w16cid:durableId="2054309831">
    <w:abstractNumId w:val="21"/>
  </w:num>
  <w:num w:numId="4" w16cid:durableId="100230116">
    <w:abstractNumId w:val="14"/>
  </w:num>
  <w:num w:numId="5" w16cid:durableId="142242844">
    <w:abstractNumId w:val="12"/>
  </w:num>
  <w:num w:numId="6" w16cid:durableId="182482769">
    <w:abstractNumId w:val="29"/>
  </w:num>
  <w:num w:numId="7" w16cid:durableId="993145431">
    <w:abstractNumId w:val="35"/>
  </w:num>
  <w:num w:numId="8" w16cid:durableId="89469325">
    <w:abstractNumId w:val="7"/>
  </w:num>
  <w:num w:numId="9" w16cid:durableId="306055042">
    <w:abstractNumId w:val="37"/>
  </w:num>
  <w:num w:numId="10" w16cid:durableId="2053115859">
    <w:abstractNumId w:val="15"/>
  </w:num>
  <w:num w:numId="11" w16cid:durableId="819419268">
    <w:abstractNumId w:val="13"/>
  </w:num>
  <w:num w:numId="12" w16cid:durableId="1573154496">
    <w:abstractNumId w:val="28"/>
  </w:num>
  <w:num w:numId="13" w16cid:durableId="1363358563">
    <w:abstractNumId w:val="1"/>
  </w:num>
  <w:num w:numId="14" w16cid:durableId="1565409895">
    <w:abstractNumId w:val="23"/>
  </w:num>
  <w:num w:numId="15" w16cid:durableId="1182205303">
    <w:abstractNumId w:val="22"/>
  </w:num>
  <w:num w:numId="16" w16cid:durableId="634022663">
    <w:abstractNumId w:val="16"/>
  </w:num>
  <w:num w:numId="17" w16cid:durableId="851606092">
    <w:abstractNumId w:val="30"/>
  </w:num>
  <w:num w:numId="18" w16cid:durableId="1458527974">
    <w:abstractNumId w:val="18"/>
  </w:num>
  <w:num w:numId="19" w16cid:durableId="555046866">
    <w:abstractNumId w:val="9"/>
  </w:num>
  <w:num w:numId="20" w16cid:durableId="915624359">
    <w:abstractNumId w:val="20"/>
  </w:num>
  <w:num w:numId="21" w16cid:durableId="2057585410">
    <w:abstractNumId w:val="2"/>
  </w:num>
  <w:num w:numId="22" w16cid:durableId="1133594440">
    <w:abstractNumId w:val="6"/>
  </w:num>
  <w:num w:numId="23" w16cid:durableId="718633013">
    <w:abstractNumId w:val="36"/>
  </w:num>
  <w:num w:numId="24" w16cid:durableId="972515532">
    <w:abstractNumId w:val="27"/>
  </w:num>
  <w:num w:numId="25" w16cid:durableId="623275033">
    <w:abstractNumId w:val="11"/>
  </w:num>
  <w:num w:numId="26" w16cid:durableId="1444614641">
    <w:abstractNumId w:val="3"/>
  </w:num>
  <w:num w:numId="27" w16cid:durableId="264071605">
    <w:abstractNumId w:val="17"/>
  </w:num>
  <w:num w:numId="28" w16cid:durableId="1423841548">
    <w:abstractNumId w:val="32"/>
  </w:num>
  <w:num w:numId="29" w16cid:durableId="1091465978">
    <w:abstractNumId w:val="19"/>
  </w:num>
  <w:num w:numId="30" w16cid:durableId="293222099">
    <w:abstractNumId w:val="31"/>
  </w:num>
  <w:num w:numId="31" w16cid:durableId="1342702067">
    <w:abstractNumId w:val="25"/>
  </w:num>
  <w:num w:numId="32" w16cid:durableId="1210992030">
    <w:abstractNumId w:val="10"/>
  </w:num>
  <w:num w:numId="33" w16cid:durableId="1716008728">
    <w:abstractNumId w:val="0"/>
  </w:num>
  <w:num w:numId="34" w16cid:durableId="1668170880">
    <w:abstractNumId w:val="34"/>
  </w:num>
  <w:num w:numId="35" w16cid:durableId="1598824901">
    <w:abstractNumId w:val="8"/>
  </w:num>
  <w:num w:numId="36" w16cid:durableId="827133042">
    <w:abstractNumId w:val="26"/>
  </w:num>
  <w:num w:numId="37" w16cid:durableId="579876456">
    <w:abstractNumId w:val="33"/>
  </w:num>
  <w:num w:numId="38" w16cid:durableId="152976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93"/>
    <w:rsid w:val="000244D3"/>
    <w:rsid w:val="0003114D"/>
    <w:rsid w:val="00040E4B"/>
    <w:rsid w:val="0004776C"/>
    <w:rsid w:val="00053E5C"/>
    <w:rsid w:val="00055A3E"/>
    <w:rsid w:val="00064948"/>
    <w:rsid w:val="00077DC5"/>
    <w:rsid w:val="0008138F"/>
    <w:rsid w:val="000A0321"/>
    <w:rsid w:val="000B57D9"/>
    <w:rsid w:val="000D1C3C"/>
    <w:rsid w:val="000E1C01"/>
    <w:rsid w:val="000E5B80"/>
    <w:rsid w:val="000F109F"/>
    <w:rsid w:val="000F3EBF"/>
    <w:rsid w:val="00106B61"/>
    <w:rsid w:val="00114B73"/>
    <w:rsid w:val="00121214"/>
    <w:rsid w:val="001247CE"/>
    <w:rsid w:val="0013310E"/>
    <w:rsid w:val="00153E39"/>
    <w:rsid w:val="001B53E9"/>
    <w:rsid w:val="001B654E"/>
    <w:rsid w:val="001C1C1F"/>
    <w:rsid w:val="001C3698"/>
    <w:rsid w:val="001C7CFC"/>
    <w:rsid w:val="001D009E"/>
    <w:rsid w:val="001D382F"/>
    <w:rsid w:val="002038C8"/>
    <w:rsid w:val="00206DBA"/>
    <w:rsid w:val="0023129C"/>
    <w:rsid w:val="002349FE"/>
    <w:rsid w:val="00251245"/>
    <w:rsid w:val="002707A6"/>
    <w:rsid w:val="00271648"/>
    <w:rsid w:val="002721F3"/>
    <w:rsid w:val="00281635"/>
    <w:rsid w:val="00286B65"/>
    <w:rsid w:val="002B38DA"/>
    <w:rsid w:val="002B481C"/>
    <w:rsid w:val="002C0155"/>
    <w:rsid w:val="002C3FFE"/>
    <w:rsid w:val="002D4FA7"/>
    <w:rsid w:val="002D5FB5"/>
    <w:rsid w:val="002E6AFB"/>
    <w:rsid w:val="0031686D"/>
    <w:rsid w:val="00317613"/>
    <w:rsid w:val="003704D9"/>
    <w:rsid w:val="003705EA"/>
    <w:rsid w:val="00377932"/>
    <w:rsid w:val="003812D7"/>
    <w:rsid w:val="00391344"/>
    <w:rsid w:val="003B1B7A"/>
    <w:rsid w:val="003B5EE0"/>
    <w:rsid w:val="003C20B8"/>
    <w:rsid w:val="003C382A"/>
    <w:rsid w:val="003D59AD"/>
    <w:rsid w:val="003F201C"/>
    <w:rsid w:val="00406984"/>
    <w:rsid w:val="00406A27"/>
    <w:rsid w:val="0041461F"/>
    <w:rsid w:val="00417E81"/>
    <w:rsid w:val="00441D59"/>
    <w:rsid w:val="00471481"/>
    <w:rsid w:val="004755B5"/>
    <w:rsid w:val="00494A7A"/>
    <w:rsid w:val="004A5AF5"/>
    <w:rsid w:val="004C28C9"/>
    <w:rsid w:val="004C3B83"/>
    <w:rsid w:val="004D15B4"/>
    <w:rsid w:val="004D4D8C"/>
    <w:rsid w:val="004F2E84"/>
    <w:rsid w:val="00516AC9"/>
    <w:rsid w:val="00523EFC"/>
    <w:rsid w:val="00533D15"/>
    <w:rsid w:val="00555E9E"/>
    <w:rsid w:val="00571839"/>
    <w:rsid w:val="0057748D"/>
    <w:rsid w:val="0058399D"/>
    <w:rsid w:val="00585AA5"/>
    <w:rsid w:val="00587F0C"/>
    <w:rsid w:val="00592ADD"/>
    <w:rsid w:val="005A670C"/>
    <w:rsid w:val="005B02EC"/>
    <w:rsid w:val="005B47FA"/>
    <w:rsid w:val="005D1BF3"/>
    <w:rsid w:val="005D5C0A"/>
    <w:rsid w:val="005D5EBA"/>
    <w:rsid w:val="005E7586"/>
    <w:rsid w:val="006100B6"/>
    <w:rsid w:val="0061142A"/>
    <w:rsid w:val="00613EDF"/>
    <w:rsid w:val="006466DB"/>
    <w:rsid w:val="0066095C"/>
    <w:rsid w:val="006611B5"/>
    <w:rsid w:val="00665A3A"/>
    <w:rsid w:val="00672E51"/>
    <w:rsid w:val="00697AB0"/>
    <w:rsid w:val="006D6B7D"/>
    <w:rsid w:val="006F032B"/>
    <w:rsid w:val="0070269F"/>
    <w:rsid w:val="00703E45"/>
    <w:rsid w:val="00766354"/>
    <w:rsid w:val="007F05E1"/>
    <w:rsid w:val="007F45BC"/>
    <w:rsid w:val="00806C3E"/>
    <w:rsid w:val="00822456"/>
    <w:rsid w:val="00824C2A"/>
    <w:rsid w:val="00856FE0"/>
    <w:rsid w:val="00860508"/>
    <w:rsid w:val="00862D06"/>
    <w:rsid w:val="00873CED"/>
    <w:rsid w:val="00877F74"/>
    <w:rsid w:val="00885F55"/>
    <w:rsid w:val="0088713F"/>
    <w:rsid w:val="008A587F"/>
    <w:rsid w:val="008D3559"/>
    <w:rsid w:val="008D591A"/>
    <w:rsid w:val="008F4818"/>
    <w:rsid w:val="009134C8"/>
    <w:rsid w:val="00922D4E"/>
    <w:rsid w:val="00945240"/>
    <w:rsid w:val="00952CB3"/>
    <w:rsid w:val="00960D4C"/>
    <w:rsid w:val="009771BB"/>
    <w:rsid w:val="009827E1"/>
    <w:rsid w:val="00983B00"/>
    <w:rsid w:val="00984B33"/>
    <w:rsid w:val="009926FA"/>
    <w:rsid w:val="009A2F0F"/>
    <w:rsid w:val="009C0F9C"/>
    <w:rsid w:val="009C5EF1"/>
    <w:rsid w:val="009C630D"/>
    <w:rsid w:val="009C759F"/>
    <w:rsid w:val="009D3234"/>
    <w:rsid w:val="00A07515"/>
    <w:rsid w:val="00A10DBA"/>
    <w:rsid w:val="00A1421A"/>
    <w:rsid w:val="00A22ABB"/>
    <w:rsid w:val="00A269D5"/>
    <w:rsid w:val="00A3227B"/>
    <w:rsid w:val="00A6698E"/>
    <w:rsid w:val="00A75819"/>
    <w:rsid w:val="00A75B61"/>
    <w:rsid w:val="00A87327"/>
    <w:rsid w:val="00A930CA"/>
    <w:rsid w:val="00AA4E6D"/>
    <w:rsid w:val="00AA59C5"/>
    <w:rsid w:val="00AB606B"/>
    <w:rsid w:val="00AC051A"/>
    <w:rsid w:val="00AF59C4"/>
    <w:rsid w:val="00B03AAD"/>
    <w:rsid w:val="00B07BB7"/>
    <w:rsid w:val="00B13A33"/>
    <w:rsid w:val="00B154C6"/>
    <w:rsid w:val="00B15E88"/>
    <w:rsid w:val="00B2011C"/>
    <w:rsid w:val="00B32D0C"/>
    <w:rsid w:val="00B4319A"/>
    <w:rsid w:val="00B45AA0"/>
    <w:rsid w:val="00B51D8D"/>
    <w:rsid w:val="00B65AFE"/>
    <w:rsid w:val="00B82D3F"/>
    <w:rsid w:val="00B8369E"/>
    <w:rsid w:val="00B97FF3"/>
    <w:rsid w:val="00BA50EC"/>
    <w:rsid w:val="00BB3338"/>
    <w:rsid w:val="00BC27AC"/>
    <w:rsid w:val="00BE2B50"/>
    <w:rsid w:val="00BF48A7"/>
    <w:rsid w:val="00C067FE"/>
    <w:rsid w:val="00C17867"/>
    <w:rsid w:val="00C21B69"/>
    <w:rsid w:val="00C603EF"/>
    <w:rsid w:val="00C6172E"/>
    <w:rsid w:val="00C74668"/>
    <w:rsid w:val="00C81EA3"/>
    <w:rsid w:val="00CA010E"/>
    <w:rsid w:val="00CB188E"/>
    <w:rsid w:val="00CC2A15"/>
    <w:rsid w:val="00CF4F80"/>
    <w:rsid w:val="00CF7331"/>
    <w:rsid w:val="00D20462"/>
    <w:rsid w:val="00D24E8A"/>
    <w:rsid w:val="00D44C66"/>
    <w:rsid w:val="00D63998"/>
    <w:rsid w:val="00D70D4C"/>
    <w:rsid w:val="00D821BC"/>
    <w:rsid w:val="00D849B7"/>
    <w:rsid w:val="00D913FB"/>
    <w:rsid w:val="00DA151D"/>
    <w:rsid w:val="00DB1BE7"/>
    <w:rsid w:val="00DB736D"/>
    <w:rsid w:val="00DC6A5F"/>
    <w:rsid w:val="00DC7681"/>
    <w:rsid w:val="00DD66A9"/>
    <w:rsid w:val="00DF1B7D"/>
    <w:rsid w:val="00DF710D"/>
    <w:rsid w:val="00E00286"/>
    <w:rsid w:val="00E0381D"/>
    <w:rsid w:val="00E13768"/>
    <w:rsid w:val="00E24ACF"/>
    <w:rsid w:val="00E40D43"/>
    <w:rsid w:val="00E45028"/>
    <w:rsid w:val="00E561C3"/>
    <w:rsid w:val="00E62E08"/>
    <w:rsid w:val="00E7523F"/>
    <w:rsid w:val="00E9322E"/>
    <w:rsid w:val="00E95BC8"/>
    <w:rsid w:val="00EA08D1"/>
    <w:rsid w:val="00EC1611"/>
    <w:rsid w:val="00ED5FEB"/>
    <w:rsid w:val="00ED6093"/>
    <w:rsid w:val="00EF2645"/>
    <w:rsid w:val="00EF4177"/>
    <w:rsid w:val="00F071C3"/>
    <w:rsid w:val="00F17E73"/>
    <w:rsid w:val="00F22F90"/>
    <w:rsid w:val="00F25A64"/>
    <w:rsid w:val="00F31513"/>
    <w:rsid w:val="00F32A76"/>
    <w:rsid w:val="00F433ED"/>
    <w:rsid w:val="00F4384D"/>
    <w:rsid w:val="00F45118"/>
    <w:rsid w:val="00F5215E"/>
    <w:rsid w:val="00F577B1"/>
    <w:rsid w:val="00F71EC4"/>
    <w:rsid w:val="00F84256"/>
    <w:rsid w:val="00F95CBE"/>
    <w:rsid w:val="00FA0BA1"/>
    <w:rsid w:val="00FC596F"/>
    <w:rsid w:val="00FE0A3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35A"/>
  <w15:chartTrackingRefBased/>
  <w15:docId w15:val="{9256B108-CE7A-4934-8C00-3781471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47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C3E"/>
  </w:style>
  <w:style w:type="paragraph" w:styleId="Pidipagina">
    <w:name w:val="footer"/>
    <w:basedOn w:val="Normale"/>
    <w:link w:val="Pidipagina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C3E"/>
  </w:style>
  <w:style w:type="paragraph" w:styleId="NormaleWeb">
    <w:name w:val="Normal (Web)"/>
    <w:basedOn w:val="Normale"/>
    <w:uiPriority w:val="99"/>
    <w:semiHidden/>
    <w:unhideWhenUsed/>
    <w:rsid w:val="0066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atina">
    <w:name w:val="Testatina"/>
    <w:basedOn w:val="Pidipagina"/>
    <w:qFormat/>
    <w:rsid w:val="004C3B83"/>
    <w:pPr>
      <w:tabs>
        <w:tab w:val="clear" w:pos="4819"/>
        <w:tab w:val="clear" w:pos="9638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</w:rPr>
  </w:style>
  <w:style w:type="paragraph" w:customStyle="1" w:styleId="TestatinePiedepaginaNumeri">
    <w:name w:val="Testatine/Piede pagina/Numeri"/>
    <w:basedOn w:val="Pidipagina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9638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</w:rPr>
  </w:style>
  <w:style w:type="paragraph" w:customStyle="1" w:styleId="TitoloDocumento">
    <w:name w:val="Titolo Documento"/>
    <w:basedOn w:val="Normale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spacing w:after="0" w:line="720" w:lineRule="exact"/>
    </w:pPr>
    <w:rPr>
      <w:rFonts w:ascii="Luiss Sans" w:eastAsia="MetaPro" w:hAnsi="Luiss Sans" w:cs="MetaPro"/>
      <w:b/>
      <w:bCs/>
      <w:color w:val="003A65"/>
      <w:sz w:val="64"/>
      <w:szCs w:val="64"/>
      <w:u w:color="003A65"/>
      <w:bdr w:val="nil"/>
      <w:lang w:val="en-US"/>
    </w:rPr>
  </w:style>
  <w:style w:type="paragraph" w:customStyle="1" w:styleId="TestoParagrafo">
    <w:name w:val="Testo Paragrafo"/>
    <w:qFormat/>
    <w:rsid w:val="004C3B83"/>
    <w:pPr>
      <w:spacing w:after="0" w:line="280" w:lineRule="exact"/>
    </w:pPr>
    <w:rPr>
      <w:rFonts w:ascii="Luiss Sans" w:hAnsi="Luiss Sans"/>
      <w:lang w:val="en-US"/>
    </w:rPr>
  </w:style>
  <w:style w:type="table" w:customStyle="1" w:styleId="TableNormal1">
    <w:name w:val="Table Normal1"/>
    <w:rsid w:val="00B07BB7"/>
    <w:pPr>
      <w:pBdr>
        <w:top w:val="nil"/>
        <w:left w:val="nil"/>
        <w:bottom w:val="nil"/>
        <w:right w:val="nil"/>
        <w:between w:val="nil"/>
        <w:bar w:val="nil"/>
      </w:pBdr>
      <w:spacing w:after="0" w:line="200" w:lineRule="exact"/>
    </w:pPr>
    <w:rPr>
      <w:rFonts w:ascii="Luiss Sans" w:eastAsia="Arial Unicode MS" w:hAnsi="Luiss Sans" w:cs="Times New Roman"/>
      <w:color w:val="003A70"/>
      <w:sz w:val="18"/>
      <w:szCs w:val="20"/>
      <w:bdr w:val="nil"/>
      <w:lang w:val="en-US"/>
    </w:rPr>
    <w:tblPr>
      <w:tblInd w:w="0" w:type="dxa"/>
      <w:tblBorders>
        <w:bottom w:val="single" w:sz="4" w:space="0" w:color="003A70"/>
        <w:insideH w:val="single" w:sz="4" w:space="0" w:color="003A70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</w:tcMar>
      <w:vAlign w:val="center"/>
    </w:tcPr>
  </w:style>
  <w:style w:type="paragraph" w:customStyle="1" w:styleId="TestoTabella">
    <w:name w:val="Testo Tabella"/>
    <w:basedOn w:val="Normale"/>
    <w:qFormat/>
    <w:rsid w:val="00B07B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00" w:lineRule="exact"/>
    </w:pPr>
    <w:rPr>
      <w:rFonts w:ascii="Luiss Sans" w:eastAsia="MetaPro Normal" w:hAnsi="Luiss Sans" w:cs="Cambria"/>
      <w:bCs/>
      <w:color w:val="003A65"/>
      <w:sz w:val="18"/>
      <w:szCs w:val="18"/>
      <w:u w:color="003A65"/>
      <w:bdr w:val="nil"/>
    </w:rPr>
  </w:style>
  <w:style w:type="table" w:styleId="Sfondochiaro-Colore1">
    <w:name w:val="Light Shading Accent 1"/>
    <w:basedOn w:val="Tabellanormale"/>
    <w:uiPriority w:val="60"/>
    <w:semiHidden/>
    <w:unhideWhenUsed/>
    <w:rsid w:val="002721F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Risorto</dc:creator>
  <cp:keywords/>
  <dc:description/>
  <cp:lastModifiedBy>Matteo De Angelis</cp:lastModifiedBy>
  <cp:revision>6</cp:revision>
  <dcterms:created xsi:type="dcterms:W3CDTF">2025-02-02T08:37:00Z</dcterms:created>
  <dcterms:modified xsi:type="dcterms:W3CDTF">2025-02-02T08:51:00Z</dcterms:modified>
</cp:coreProperties>
</file>